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82A" w:rsidRDefault="00B4782A" w:rsidP="00B4782A">
      <w:pPr>
        <w:pStyle w:val="ad"/>
        <w:jc w:val="right"/>
      </w:pPr>
      <w:r>
        <w:t>Приложение к письму №1214 от 25.08.2026 г.</w:t>
      </w:r>
    </w:p>
    <w:p w:rsidR="00B4782A" w:rsidRDefault="00B4782A" w:rsidP="00DE1531">
      <w:pPr>
        <w:spacing w:after="60" w:line="264" w:lineRule="auto"/>
        <w:jc w:val="center"/>
        <w:rPr>
          <w:b/>
          <w:bCs/>
          <w:sz w:val="32"/>
          <w:szCs w:val="32"/>
        </w:rPr>
      </w:pPr>
    </w:p>
    <w:p w:rsidR="00DC038A" w:rsidRDefault="00955778" w:rsidP="00DE1531">
      <w:pPr>
        <w:spacing w:after="60" w:line="264" w:lineRule="auto"/>
        <w:jc w:val="center"/>
        <w:rPr>
          <w:b/>
          <w:bCs/>
          <w:sz w:val="32"/>
          <w:szCs w:val="32"/>
        </w:rPr>
      </w:pPr>
      <w:r w:rsidRPr="00925B02">
        <w:rPr>
          <w:b/>
          <w:bCs/>
          <w:sz w:val="32"/>
          <w:szCs w:val="32"/>
        </w:rPr>
        <w:t>Сопоставление трудовых действий, необходимых умений и необходимых знаний проектируемой трудовой функции «Применение больших языковых моделей и систем искусственного интеллекта»</w:t>
      </w:r>
    </w:p>
    <w:p w:rsidR="00123618" w:rsidRPr="00925B02" w:rsidRDefault="00123618" w:rsidP="00DE1531">
      <w:pPr>
        <w:spacing w:after="60" w:line="264" w:lineRule="auto"/>
        <w:jc w:val="center"/>
        <w:rPr>
          <w:sz w:val="32"/>
          <w:szCs w:val="32"/>
        </w:rPr>
      </w:pPr>
    </w:p>
    <w:tbl>
      <w:tblPr>
        <w:tblW w:w="9638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55"/>
        <w:gridCol w:w="2957"/>
        <w:gridCol w:w="3048"/>
        <w:gridCol w:w="3078"/>
      </w:tblGrid>
      <w:tr w:rsidR="00DC038A" w:rsidRPr="00925B02">
        <w:trPr>
          <w:tblHeader/>
        </w:trPr>
        <w:tc>
          <w:tcPr>
            <w:tcW w:w="6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jc w:val="center"/>
              <w:rPr>
                <w:sz w:val="32"/>
                <w:szCs w:val="32"/>
              </w:rPr>
            </w:pPr>
            <w:r w:rsidRPr="00925B02">
              <w:rPr>
                <w:b/>
                <w:bCs/>
                <w:sz w:val="32"/>
                <w:szCs w:val="32"/>
              </w:rPr>
              <w:t>№</w:t>
            </w:r>
          </w:p>
        </w:tc>
        <w:tc>
          <w:tcPr>
            <w:tcW w:w="28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jc w:val="center"/>
              <w:rPr>
                <w:sz w:val="32"/>
                <w:szCs w:val="32"/>
              </w:rPr>
            </w:pPr>
            <w:r w:rsidRPr="00925B02">
              <w:rPr>
                <w:b/>
                <w:bCs/>
                <w:sz w:val="32"/>
                <w:szCs w:val="32"/>
              </w:rPr>
              <w:t>Трудовое действие</w:t>
            </w:r>
          </w:p>
        </w:tc>
        <w:tc>
          <w:tcPr>
            <w:tcW w:w="31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jc w:val="center"/>
              <w:rPr>
                <w:sz w:val="32"/>
                <w:szCs w:val="32"/>
              </w:rPr>
            </w:pPr>
            <w:r w:rsidRPr="00925B02">
              <w:rPr>
                <w:b/>
                <w:bCs/>
                <w:sz w:val="32"/>
                <w:szCs w:val="32"/>
              </w:rPr>
              <w:t>Необходимое умение</w:t>
            </w:r>
          </w:p>
        </w:tc>
        <w:tc>
          <w:tcPr>
            <w:tcW w:w="313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jc w:val="center"/>
              <w:rPr>
                <w:sz w:val="32"/>
                <w:szCs w:val="32"/>
              </w:rPr>
            </w:pPr>
            <w:r w:rsidRPr="00925B02">
              <w:rPr>
                <w:b/>
                <w:bCs/>
                <w:sz w:val="32"/>
                <w:szCs w:val="32"/>
              </w:rPr>
              <w:t>Необходимое знание</w:t>
            </w:r>
          </w:p>
        </w:tc>
      </w:tr>
      <w:tr w:rsidR="00DC038A" w:rsidRPr="00925B02">
        <w:tc>
          <w:tcPr>
            <w:tcW w:w="6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jc w:val="center"/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t>1</w:t>
            </w:r>
          </w:p>
        </w:tc>
        <w:tc>
          <w:tcPr>
            <w:tcW w:w="28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t>Формулирование структурированных запросов (</w:t>
            </w:r>
            <w:proofErr w:type="spellStart"/>
            <w:r w:rsidRPr="00925B02">
              <w:rPr>
                <w:sz w:val="32"/>
                <w:szCs w:val="32"/>
              </w:rPr>
              <w:t>промптов</w:t>
            </w:r>
            <w:proofErr w:type="spellEnd"/>
            <w:r w:rsidRPr="00925B02">
              <w:rPr>
                <w:sz w:val="32"/>
                <w:szCs w:val="32"/>
              </w:rPr>
              <w:t>) к большим языковым моделям для решения профессиональных задач</w:t>
            </w:r>
          </w:p>
        </w:tc>
        <w:tc>
          <w:tcPr>
            <w:tcW w:w="31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t xml:space="preserve">Формулировать </w:t>
            </w:r>
            <w:proofErr w:type="spellStart"/>
            <w:r w:rsidRPr="00925B02">
              <w:rPr>
                <w:sz w:val="32"/>
                <w:szCs w:val="32"/>
              </w:rPr>
              <w:t>промпты</w:t>
            </w:r>
            <w:proofErr w:type="spellEnd"/>
            <w:r w:rsidRPr="00925B02">
              <w:rPr>
                <w:sz w:val="32"/>
                <w:szCs w:val="32"/>
              </w:rPr>
              <w:t xml:space="preserve"> к большим языковым моделям с указанием роли, контекста, клинической задачи, ограничений и требуемого формата ответа</w:t>
            </w:r>
          </w:p>
        </w:tc>
        <w:tc>
          <w:tcPr>
            <w:tcW w:w="313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t>Правила формулирования структурированных запросов (</w:t>
            </w:r>
            <w:proofErr w:type="spellStart"/>
            <w:r w:rsidRPr="00925B02">
              <w:rPr>
                <w:sz w:val="32"/>
                <w:szCs w:val="32"/>
              </w:rPr>
              <w:t>промптов</w:t>
            </w:r>
            <w:proofErr w:type="spellEnd"/>
            <w:r w:rsidRPr="00925B02">
              <w:rPr>
                <w:sz w:val="32"/>
                <w:szCs w:val="32"/>
              </w:rPr>
              <w:t>) к большим языковым моделям</w:t>
            </w:r>
          </w:p>
        </w:tc>
      </w:tr>
      <w:tr w:rsidR="00DC038A" w:rsidRPr="00925B02">
        <w:tc>
          <w:tcPr>
            <w:tcW w:w="6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jc w:val="center"/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t>2</w:t>
            </w:r>
          </w:p>
        </w:tc>
        <w:tc>
          <w:tcPr>
            <w:tcW w:w="28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t>Обезличивание персональных данных пациента и сведений, составляющих врачебную тайну, при подготовке запросов к системам искусственного интеллекта, не входящим в защищённый контур медицинской организации</w:t>
            </w:r>
          </w:p>
        </w:tc>
        <w:tc>
          <w:tcPr>
            <w:tcW w:w="31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t>— Проводить обезличивание персональных данных пациента и сведений, составляющих врачебную тайну, перед их передачей в системы искусственного интеллекта.</w:t>
            </w:r>
          </w:p>
          <w:p w:rsidR="00DC038A" w:rsidRPr="00925B02" w:rsidRDefault="00955778">
            <w:pPr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t xml:space="preserve">— Применять требования законодательства Российской Федерации о персональных данных, врачебной тайне и защите информации при работе с системами искусственного </w:t>
            </w:r>
            <w:r w:rsidRPr="00925B02">
              <w:rPr>
                <w:sz w:val="32"/>
                <w:szCs w:val="32"/>
              </w:rPr>
              <w:lastRenderedPageBreak/>
              <w:t>интеллекта.</w:t>
            </w:r>
          </w:p>
        </w:tc>
        <w:tc>
          <w:tcPr>
            <w:tcW w:w="313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lastRenderedPageBreak/>
              <w:t>— Порядок обезличивания персональных данных пациента и сведений, составляющих врачебную тайну, при использовании систем искусственного интеллекта.</w:t>
            </w:r>
          </w:p>
          <w:p w:rsidR="00DC038A" w:rsidRPr="00925B02" w:rsidRDefault="00955778">
            <w:pPr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t xml:space="preserve">— Требования законодательства Российской Федерации о персональных данных и о защите информации в части, регулирующей применение систем искусственного интеллекта при </w:t>
            </w:r>
            <w:r w:rsidRPr="00925B02">
              <w:rPr>
                <w:sz w:val="32"/>
                <w:szCs w:val="32"/>
              </w:rPr>
              <w:lastRenderedPageBreak/>
              <w:t>оказании медицинской помощи, включая положения о врачебной тайне.</w:t>
            </w:r>
          </w:p>
        </w:tc>
      </w:tr>
      <w:tr w:rsidR="00DC038A" w:rsidRPr="00925B02">
        <w:tc>
          <w:tcPr>
            <w:tcW w:w="6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jc w:val="center"/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lastRenderedPageBreak/>
              <w:t>3</w:t>
            </w:r>
          </w:p>
        </w:tc>
        <w:tc>
          <w:tcPr>
            <w:tcW w:w="28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t>Верификация ответов больших языковых моделей на соответствие клиническим рекомендациям, порядкам оказания медицинской помощи, стандартам медицинской помощи и первичным источникам</w:t>
            </w:r>
          </w:p>
        </w:tc>
        <w:tc>
          <w:tcPr>
            <w:tcW w:w="31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t>Верифицировать ответы больших языковых моделей путём сверки с клиническими рекомендациями, порядками и стандартами оказания медицинской помощи, первичными источниками</w:t>
            </w:r>
          </w:p>
        </w:tc>
        <w:tc>
          <w:tcPr>
            <w:tcW w:w="313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t>Методы верификации ответов систем искусственного интеллекта, включая сверку с клиническими рекомендациями, стандартами и порядками оказания медицинской помощи, первичными источниками</w:t>
            </w:r>
          </w:p>
        </w:tc>
      </w:tr>
      <w:tr w:rsidR="00DC038A" w:rsidRPr="00925B02">
        <w:tc>
          <w:tcPr>
            <w:tcW w:w="6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jc w:val="center"/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t>4</w:t>
            </w:r>
          </w:p>
        </w:tc>
        <w:tc>
          <w:tcPr>
            <w:tcW w:w="28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t xml:space="preserve">Выявление признаков недостоверности ответов систем искусственного интеллекта, в том числе </w:t>
            </w:r>
            <w:proofErr w:type="spellStart"/>
            <w:r w:rsidRPr="00925B02">
              <w:rPr>
                <w:sz w:val="32"/>
                <w:szCs w:val="32"/>
              </w:rPr>
              <w:t>фактологических</w:t>
            </w:r>
            <w:proofErr w:type="spellEnd"/>
            <w:r w:rsidRPr="00925B02">
              <w:rPr>
                <w:sz w:val="32"/>
                <w:szCs w:val="32"/>
              </w:rPr>
              <w:t xml:space="preserve"> и логических ошибок, использования устаревших данных и систематической предвзятости</w:t>
            </w:r>
          </w:p>
        </w:tc>
        <w:tc>
          <w:tcPr>
            <w:tcW w:w="31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t xml:space="preserve">Выявлять признаки </w:t>
            </w:r>
            <w:proofErr w:type="spellStart"/>
            <w:r w:rsidRPr="00925B02">
              <w:rPr>
                <w:sz w:val="32"/>
                <w:szCs w:val="32"/>
              </w:rPr>
              <w:t>фактологических</w:t>
            </w:r>
            <w:proofErr w:type="spellEnd"/>
            <w:r w:rsidRPr="00925B02">
              <w:rPr>
                <w:sz w:val="32"/>
                <w:szCs w:val="32"/>
              </w:rPr>
              <w:t xml:space="preserve"> и логических ошибок, использования устаревших данных, предвзятости в ответах систем искусственного интеллекта</w:t>
            </w:r>
          </w:p>
        </w:tc>
        <w:tc>
          <w:tcPr>
            <w:tcW w:w="313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t>Признаки недостоверных ответов систем искусственного интеллекта</w:t>
            </w:r>
          </w:p>
        </w:tc>
      </w:tr>
      <w:tr w:rsidR="00DC038A" w:rsidRPr="00925B02">
        <w:tc>
          <w:tcPr>
            <w:tcW w:w="6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jc w:val="center"/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t>5</w:t>
            </w:r>
          </w:p>
        </w:tc>
        <w:tc>
          <w:tcPr>
            <w:tcW w:w="28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t xml:space="preserve">Использование систем поддержки принятия врачебных решений </w:t>
            </w:r>
            <w:r w:rsidRPr="00925B02">
              <w:rPr>
                <w:sz w:val="32"/>
                <w:szCs w:val="32"/>
              </w:rPr>
              <w:lastRenderedPageBreak/>
              <w:t>при обследовании, диагностике, назначении лечения и оценке рисков с критической интерпретацией полученного результата</w:t>
            </w:r>
          </w:p>
        </w:tc>
        <w:tc>
          <w:tcPr>
            <w:tcW w:w="31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lastRenderedPageBreak/>
              <w:t xml:space="preserve">Использовать системы поддержки принятия врачебных решений для </w:t>
            </w:r>
            <w:r w:rsidRPr="00925B02">
              <w:rPr>
                <w:sz w:val="32"/>
                <w:szCs w:val="32"/>
              </w:rPr>
              <w:lastRenderedPageBreak/>
              <w:t>дифференциальной диагностики, проверки доз и лекарственных взаимодействий, оценки рисков с критической интерпретацией результата</w:t>
            </w:r>
          </w:p>
        </w:tc>
        <w:tc>
          <w:tcPr>
            <w:tcW w:w="313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lastRenderedPageBreak/>
              <w:t xml:space="preserve">Основные классы систем искусственного интеллекта, </w:t>
            </w:r>
            <w:r w:rsidRPr="00925B02">
              <w:rPr>
                <w:sz w:val="32"/>
                <w:szCs w:val="32"/>
              </w:rPr>
              <w:lastRenderedPageBreak/>
              <w:t>применяемых в здравоохранении</w:t>
            </w:r>
          </w:p>
        </w:tc>
      </w:tr>
      <w:tr w:rsidR="00DC038A" w:rsidRPr="00925B02">
        <w:tc>
          <w:tcPr>
            <w:tcW w:w="6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jc w:val="center"/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lastRenderedPageBreak/>
              <w:t>6</w:t>
            </w:r>
          </w:p>
        </w:tc>
        <w:tc>
          <w:tcPr>
            <w:tcW w:w="28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t>Применение зарегистрированных в Российской Федерации медицинских изделий на основе искусственного интеллекта в соответствии с их инструкцией по применению и эксплуатационной документацией</w:t>
            </w:r>
          </w:p>
        </w:tc>
        <w:tc>
          <w:tcPr>
            <w:tcW w:w="31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t>— Оценивать пределы применимости конкретной системы искусственного интеллекта, включая зарегистрированные показания, возрастные и нозологические ограничения, требования к входным данным.</w:t>
            </w:r>
          </w:p>
          <w:p w:rsidR="00DC038A" w:rsidRPr="00925B02" w:rsidRDefault="00955778">
            <w:pPr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t>— Отличать зарегистрированные в Российской Федерации медицинские изделия на основе искусственного интеллекта от сервисов общего назначения, не являющихся медицинскими изделиями.</w:t>
            </w:r>
          </w:p>
        </w:tc>
        <w:tc>
          <w:tcPr>
            <w:tcW w:w="313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t>— Порядок обращения медицинских изделий на основе искусственного интеллекта в Российской Федерации, в том числе отличия медицинских изделий от сервисов общего назначения.</w:t>
            </w:r>
          </w:p>
          <w:p w:rsidR="00DC038A" w:rsidRPr="00925B02" w:rsidRDefault="00955778">
            <w:pPr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t>— Разграничение ответственности медицинского работника, медицинской организации и производителя медицинского изделия на основе искусственного интеллекта при принятии клинических решений.</w:t>
            </w:r>
          </w:p>
        </w:tc>
      </w:tr>
      <w:tr w:rsidR="00DC038A" w:rsidRPr="00925B02">
        <w:tc>
          <w:tcPr>
            <w:tcW w:w="6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jc w:val="center"/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t>7</w:t>
            </w:r>
          </w:p>
        </w:tc>
        <w:tc>
          <w:tcPr>
            <w:tcW w:w="28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t>Документирование факта применения систем искусственного интеллекта и сгенерированных рекомендаций в медицинской документации, в том числе в форме электронного документа</w:t>
            </w:r>
          </w:p>
        </w:tc>
        <w:tc>
          <w:tcPr>
            <w:tcW w:w="31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t>Документировать в медицинской документации факт применения систем искусственного интеллекта и сгенерированные рекомендации</w:t>
            </w:r>
          </w:p>
        </w:tc>
        <w:tc>
          <w:tcPr>
            <w:tcW w:w="313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t>Порядок документирования применения систем искусственного интеллекта в медицинской документации, в том числе в форме электронного документа</w:t>
            </w:r>
          </w:p>
        </w:tc>
      </w:tr>
      <w:tr w:rsidR="00DC038A" w:rsidRPr="00925B02">
        <w:tc>
          <w:tcPr>
            <w:tcW w:w="6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jc w:val="center"/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t>8</w:t>
            </w:r>
          </w:p>
        </w:tc>
        <w:tc>
          <w:tcPr>
            <w:tcW w:w="28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t>Использование больших языковых моделей для подготовки проектов медицинской документации, выписок, памяток и разъяснений для пациентов (их законных представителей) с последующей проверкой</w:t>
            </w:r>
          </w:p>
        </w:tc>
        <w:tc>
          <w:tcPr>
            <w:tcW w:w="31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t>Использовать большие языковые модели для подготовки проектов медицинской документации и разъяснительных материалов для пациента (его законного представителя) с последующей верификацией</w:t>
            </w:r>
          </w:p>
        </w:tc>
        <w:tc>
          <w:tcPr>
            <w:tcW w:w="313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t>Этические принципы применения искусственного интеллекта в здравоохранении, включая принцип сохранения врачебного решения как окончательного, принцип прозрачности и принцип информированности пациента</w:t>
            </w:r>
          </w:p>
        </w:tc>
      </w:tr>
      <w:tr w:rsidR="00DC038A" w:rsidRPr="00925B02">
        <w:tc>
          <w:tcPr>
            <w:tcW w:w="6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jc w:val="center"/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t>9</w:t>
            </w:r>
          </w:p>
        </w:tc>
        <w:tc>
          <w:tcPr>
            <w:tcW w:w="28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t>Использование больших языковых моделей для поиска, реферирования и систематизации научной медицинской литературы, клинических рекомендаций и нормативных правовых актов с верификацией первоисточников</w:t>
            </w:r>
          </w:p>
        </w:tc>
        <w:tc>
          <w:tcPr>
            <w:tcW w:w="31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t>Использовать большие языковые модели для поиска, реферирования и систематизации научной медицинской информации с обязательной проверкой первоисточников</w:t>
            </w:r>
          </w:p>
        </w:tc>
        <w:tc>
          <w:tcPr>
            <w:tcW w:w="313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t>Принципы работы больших языковых моделей, их возможности и принципиальные ограничения, в том числе причины возникновения «галлюцинаций» и систематической предвзятости</w:t>
            </w:r>
          </w:p>
        </w:tc>
      </w:tr>
      <w:tr w:rsidR="00DC038A" w:rsidRPr="00925B02">
        <w:tc>
          <w:tcPr>
            <w:tcW w:w="6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jc w:val="center"/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t>10</w:t>
            </w:r>
          </w:p>
        </w:tc>
        <w:tc>
          <w:tcPr>
            <w:tcW w:w="28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t>Информирование пациента (его законного представителя) о применении систем искусственного интеллекта при оказании медицинской помощи в случаях, предусмотренных нормативными правовыми актами</w:t>
            </w:r>
          </w:p>
        </w:tc>
        <w:tc>
          <w:tcPr>
            <w:tcW w:w="31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t>Информировать пациента (его законного представителя) о применении систем искусственного интеллекта</w:t>
            </w:r>
          </w:p>
        </w:tc>
        <w:tc>
          <w:tcPr>
            <w:tcW w:w="313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t>Порядок информирования пациента (его законного представителя) о применении систем искусственного интеллекта при оказании медицинской помощи</w:t>
            </w:r>
          </w:p>
        </w:tc>
      </w:tr>
      <w:tr w:rsidR="00DC038A" w:rsidRPr="00925B02">
        <w:tc>
          <w:tcPr>
            <w:tcW w:w="6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jc w:val="center"/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t>11</w:t>
            </w:r>
          </w:p>
        </w:tc>
        <w:tc>
          <w:tcPr>
            <w:tcW w:w="28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t>Информирование уполномоченных лиц о нежелательных событиях и ошибках, выявленных при применении медицинских изделий на основе искусственного интеллекта</w:t>
            </w:r>
          </w:p>
        </w:tc>
        <w:tc>
          <w:tcPr>
            <w:tcW w:w="31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t>Формировать и направлять обратную связь о работе медицинских изделий на основе искусственного интеллекта, в том числе о выявленных нежелательных событиях</w:t>
            </w:r>
          </w:p>
        </w:tc>
        <w:tc>
          <w:tcPr>
            <w:tcW w:w="313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t>Порядок информирования уполномоченных лиц о нежелательных событиях, связанных с применением медицинских изделий на основе искусственного интеллекта</w:t>
            </w:r>
          </w:p>
        </w:tc>
      </w:tr>
      <w:tr w:rsidR="00DC038A" w:rsidRPr="00925B02">
        <w:tc>
          <w:tcPr>
            <w:tcW w:w="6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jc w:val="center"/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t>12</w:t>
            </w:r>
          </w:p>
        </w:tc>
        <w:tc>
          <w:tcPr>
            <w:tcW w:w="28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t>Отказ от использования системы искусственного интеллекта при обоснованных сомнениях в её клинической применимости и (или) безопасности</w:t>
            </w:r>
          </w:p>
        </w:tc>
        <w:tc>
          <w:tcPr>
            <w:tcW w:w="31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t>Принимать решение об отказе от использования системы искусственного интеллекта при обоснованных сомнениях в её клинической применимости и (или) безопасности</w:t>
            </w:r>
          </w:p>
        </w:tc>
        <w:tc>
          <w:tcPr>
            <w:tcW w:w="3138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40" w:type="dxa"/>
              <w:left w:w="70" w:type="dxa"/>
              <w:bottom w:w="40" w:type="dxa"/>
              <w:right w:w="70" w:type="dxa"/>
            </w:tcMar>
          </w:tcPr>
          <w:p w:rsidR="00DC038A" w:rsidRPr="00925B02" w:rsidRDefault="00955778">
            <w:pPr>
              <w:rPr>
                <w:sz w:val="32"/>
                <w:szCs w:val="32"/>
              </w:rPr>
            </w:pPr>
            <w:r w:rsidRPr="00925B02">
              <w:rPr>
                <w:sz w:val="32"/>
                <w:szCs w:val="32"/>
              </w:rPr>
              <w:t>Основные положения документов стратегического планирования Российской Федерации в области применения искусственного интеллекта в здравоохранении</w:t>
            </w:r>
          </w:p>
        </w:tc>
      </w:tr>
    </w:tbl>
    <w:p w:rsidR="00DC038A" w:rsidRPr="00925B02" w:rsidRDefault="00DC038A">
      <w:pPr>
        <w:rPr>
          <w:sz w:val="32"/>
          <w:szCs w:val="32"/>
        </w:rPr>
      </w:pPr>
    </w:p>
    <w:sectPr w:rsidR="00DC038A" w:rsidRPr="00925B02" w:rsidSect="00DC038A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6886" w:rsidRDefault="00026886" w:rsidP="008F3C47">
      <w:r>
        <w:separator/>
      </w:r>
    </w:p>
  </w:endnote>
  <w:endnote w:type="continuationSeparator" w:id="0">
    <w:p w:rsidR="00026886" w:rsidRDefault="00026886" w:rsidP="008F3C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6886" w:rsidRDefault="00026886" w:rsidP="008F3C47">
      <w:r>
        <w:separator/>
      </w:r>
    </w:p>
  </w:footnote>
  <w:footnote w:type="continuationSeparator" w:id="0">
    <w:p w:rsidR="00026886" w:rsidRDefault="00026886" w:rsidP="008F3C4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0C7CD9"/>
    <w:multiLevelType w:val="hybridMultilevel"/>
    <w:tmpl w:val="EB7A49FE"/>
    <w:lvl w:ilvl="0" w:tplc="109EF86E">
      <w:start w:val="1"/>
      <w:numFmt w:val="bullet"/>
      <w:lvlText w:val="●"/>
      <w:lvlJc w:val="left"/>
      <w:pPr>
        <w:ind w:left="720" w:hanging="360"/>
      </w:pPr>
    </w:lvl>
    <w:lvl w:ilvl="1" w:tplc="1BD29F4A">
      <w:start w:val="1"/>
      <w:numFmt w:val="bullet"/>
      <w:lvlText w:val="○"/>
      <w:lvlJc w:val="left"/>
      <w:pPr>
        <w:ind w:left="1440" w:hanging="360"/>
      </w:pPr>
    </w:lvl>
    <w:lvl w:ilvl="2" w:tplc="87A0678C">
      <w:start w:val="1"/>
      <w:numFmt w:val="bullet"/>
      <w:lvlText w:val="■"/>
      <w:lvlJc w:val="left"/>
      <w:pPr>
        <w:ind w:left="2160" w:hanging="360"/>
      </w:pPr>
    </w:lvl>
    <w:lvl w:ilvl="3" w:tplc="F03A956C">
      <w:start w:val="1"/>
      <w:numFmt w:val="bullet"/>
      <w:lvlText w:val="●"/>
      <w:lvlJc w:val="left"/>
      <w:pPr>
        <w:ind w:left="2880" w:hanging="360"/>
      </w:pPr>
    </w:lvl>
    <w:lvl w:ilvl="4" w:tplc="EB000946">
      <w:start w:val="1"/>
      <w:numFmt w:val="bullet"/>
      <w:lvlText w:val="○"/>
      <w:lvlJc w:val="left"/>
      <w:pPr>
        <w:ind w:left="3600" w:hanging="360"/>
      </w:pPr>
    </w:lvl>
    <w:lvl w:ilvl="5" w:tplc="0F885116">
      <w:start w:val="1"/>
      <w:numFmt w:val="bullet"/>
      <w:lvlText w:val="■"/>
      <w:lvlJc w:val="left"/>
      <w:pPr>
        <w:ind w:left="4320" w:hanging="360"/>
      </w:pPr>
    </w:lvl>
    <w:lvl w:ilvl="6" w:tplc="4AC279E8">
      <w:start w:val="1"/>
      <w:numFmt w:val="bullet"/>
      <w:lvlText w:val="●"/>
      <w:lvlJc w:val="left"/>
      <w:pPr>
        <w:ind w:left="5040" w:hanging="360"/>
      </w:pPr>
    </w:lvl>
    <w:lvl w:ilvl="7" w:tplc="3A3216B2">
      <w:start w:val="1"/>
      <w:numFmt w:val="bullet"/>
      <w:lvlText w:val="●"/>
      <w:lvlJc w:val="left"/>
      <w:pPr>
        <w:ind w:left="5760" w:hanging="360"/>
      </w:pPr>
    </w:lvl>
    <w:lvl w:ilvl="8" w:tplc="1458F362">
      <w:start w:val="1"/>
      <w:numFmt w:val="bullet"/>
      <w:lvlText w:val="●"/>
      <w:lvlJc w:val="left"/>
      <w:pPr>
        <w:ind w:left="6480" w:hanging="360"/>
      </w:pPr>
    </w:lvl>
  </w:abstractNum>
  <w:abstractNum w:abstractNumId="1">
    <w:nsid w:val="57454005"/>
    <w:multiLevelType w:val="hybridMultilevel"/>
    <w:tmpl w:val="5C9C65FE"/>
    <w:lvl w:ilvl="0" w:tplc="1A242EF4">
      <w:start w:val="1"/>
      <w:numFmt w:val="bullet"/>
      <w:lvlText w:val="—"/>
      <w:lvlJc w:val="left"/>
      <w:pPr>
        <w:ind w:left="720" w:hanging="360"/>
      </w:pPr>
    </w:lvl>
    <w:lvl w:ilvl="1" w:tplc="A6DA6410">
      <w:numFmt w:val="decimal"/>
      <w:lvlText w:val=""/>
      <w:lvlJc w:val="left"/>
    </w:lvl>
    <w:lvl w:ilvl="2" w:tplc="115EB1DA">
      <w:numFmt w:val="decimal"/>
      <w:lvlText w:val=""/>
      <w:lvlJc w:val="left"/>
    </w:lvl>
    <w:lvl w:ilvl="3" w:tplc="A190A23A">
      <w:numFmt w:val="decimal"/>
      <w:lvlText w:val=""/>
      <w:lvlJc w:val="left"/>
    </w:lvl>
    <w:lvl w:ilvl="4" w:tplc="032644A6">
      <w:numFmt w:val="decimal"/>
      <w:lvlText w:val=""/>
      <w:lvlJc w:val="left"/>
    </w:lvl>
    <w:lvl w:ilvl="5" w:tplc="E834BAB4">
      <w:numFmt w:val="decimal"/>
      <w:lvlText w:val=""/>
      <w:lvlJc w:val="left"/>
    </w:lvl>
    <w:lvl w:ilvl="6" w:tplc="23946FD2">
      <w:numFmt w:val="decimal"/>
      <w:lvlText w:val=""/>
      <w:lvlJc w:val="left"/>
    </w:lvl>
    <w:lvl w:ilvl="7" w:tplc="5448DC7A">
      <w:numFmt w:val="decimal"/>
      <w:lvlText w:val=""/>
      <w:lvlJc w:val="left"/>
    </w:lvl>
    <w:lvl w:ilvl="8" w:tplc="F5E26E4E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038A"/>
    <w:rsid w:val="00026886"/>
    <w:rsid w:val="000A1162"/>
    <w:rsid w:val="000C00B1"/>
    <w:rsid w:val="000D1956"/>
    <w:rsid w:val="00123618"/>
    <w:rsid w:val="001A5D50"/>
    <w:rsid w:val="001E7B57"/>
    <w:rsid w:val="002225ED"/>
    <w:rsid w:val="00256A36"/>
    <w:rsid w:val="00260D2C"/>
    <w:rsid w:val="00284E4B"/>
    <w:rsid w:val="002B6807"/>
    <w:rsid w:val="003827EA"/>
    <w:rsid w:val="003915C1"/>
    <w:rsid w:val="003D3A6A"/>
    <w:rsid w:val="00504270"/>
    <w:rsid w:val="00554736"/>
    <w:rsid w:val="00685868"/>
    <w:rsid w:val="006C3848"/>
    <w:rsid w:val="006C79EE"/>
    <w:rsid w:val="006E3515"/>
    <w:rsid w:val="007C4B85"/>
    <w:rsid w:val="00806FA7"/>
    <w:rsid w:val="008460B8"/>
    <w:rsid w:val="0084675A"/>
    <w:rsid w:val="008619C0"/>
    <w:rsid w:val="00894EAA"/>
    <w:rsid w:val="008F3C47"/>
    <w:rsid w:val="0092448D"/>
    <w:rsid w:val="00925B02"/>
    <w:rsid w:val="00955778"/>
    <w:rsid w:val="009852FF"/>
    <w:rsid w:val="00A11472"/>
    <w:rsid w:val="00A1189C"/>
    <w:rsid w:val="00A252CF"/>
    <w:rsid w:val="00AE3865"/>
    <w:rsid w:val="00B13AE9"/>
    <w:rsid w:val="00B40F75"/>
    <w:rsid w:val="00B4782A"/>
    <w:rsid w:val="00B93445"/>
    <w:rsid w:val="00BE4FBC"/>
    <w:rsid w:val="00CE37CB"/>
    <w:rsid w:val="00D2047F"/>
    <w:rsid w:val="00D47F66"/>
    <w:rsid w:val="00DC038A"/>
    <w:rsid w:val="00DE1531"/>
    <w:rsid w:val="00E16C82"/>
    <w:rsid w:val="00E869A2"/>
    <w:rsid w:val="00F6329F"/>
    <w:rsid w:val="00F94903"/>
    <w:rsid w:val="00FC1E86"/>
    <w:rsid w:val="00FE45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E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sid w:val="00DC038A"/>
    <w:rPr>
      <w:sz w:val="56"/>
      <w:szCs w:val="56"/>
    </w:rPr>
  </w:style>
  <w:style w:type="paragraph" w:customStyle="1" w:styleId="11">
    <w:name w:val="Заголовок 11"/>
    <w:qFormat/>
    <w:rsid w:val="00DC038A"/>
    <w:rPr>
      <w:color w:val="2E74B5"/>
      <w:sz w:val="32"/>
      <w:szCs w:val="32"/>
    </w:rPr>
  </w:style>
  <w:style w:type="paragraph" w:customStyle="1" w:styleId="21">
    <w:name w:val="Заголовок 21"/>
    <w:qFormat/>
    <w:rsid w:val="00DC038A"/>
    <w:rPr>
      <w:color w:val="2E74B5"/>
      <w:sz w:val="26"/>
      <w:szCs w:val="26"/>
    </w:rPr>
  </w:style>
  <w:style w:type="paragraph" w:customStyle="1" w:styleId="31">
    <w:name w:val="Заголовок 31"/>
    <w:qFormat/>
    <w:rsid w:val="00DC038A"/>
    <w:rPr>
      <w:color w:val="1F4D78"/>
    </w:rPr>
  </w:style>
  <w:style w:type="paragraph" w:customStyle="1" w:styleId="41">
    <w:name w:val="Заголовок 41"/>
    <w:qFormat/>
    <w:rsid w:val="00DC038A"/>
    <w:rPr>
      <w:i/>
      <w:iCs/>
      <w:color w:val="2E74B5"/>
    </w:rPr>
  </w:style>
  <w:style w:type="paragraph" w:customStyle="1" w:styleId="51">
    <w:name w:val="Заголовок 51"/>
    <w:qFormat/>
    <w:rsid w:val="00DC038A"/>
    <w:rPr>
      <w:color w:val="2E74B5"/>
    </w:rPr>
  </w:style>
  <w:style w:type="paragraph" w:customStyle="1" w:styleId="61">
    <w:name w:val="Заголовок 61"/>
    <w:qFormat/>
    <w:rsid w:val="00DC038A"/>
    <w:rPr>
      <w:color w:val="1F4D78"/>
    </w:rPr>
  </w:style>
  <w:style w:type="paragraph" w:customStyle="1" w:styleId="1">
    <w:name w:val="Строгий1"/>
    <w:qFormat/>
    <w:rsid w:val="00DC038A"/>
    <w:rPr>
      <w:b/>
      <w:bCs/>
    </w:rPr>
  </w:style>
  <w:style w:type="paragraph" w:styleId="a4">
    <w:name w:val="List Paragraph"/>
    <w:qFormat/>
    <w:rsid w:val="00DC038A"/>
  </w:style>
  <w:style w:type="character" w:styleId="a5">
    <w:name w:val="Hyperlink"/>
    <w:uiPriority w:val="99"/>
    <w:unhideWhenUsed/>
    <w:rsid w:val="00DC038A"/>
    <w:rPr>
      <w:color w:val="0563C1"/>
      <w:u w:val="single"/>
    </w:rPr>
  </w:style>
  <w:style w:type="character" w:styleId="a6">
    <w:name w:val="footnote reference"/>
    <w:uiPriority w:val="99"/>
    <w:semiHidden/>
    <w:unhideWhenUsed/>
    <w:rsid w:val="00DC038A"/>
    <w:rPr>
      <w:vertAlign w:val="superscript"/>
    </w:rPr>
  </w:style>
  <w:style w:type="paragraph" w:styleId="a7">
    <w:name w:val="footnote text"/>
    <w:link w:val="a8"/>
    <w:uiPriority w:val="99"/>
    <w:unhideWhenUsed/>
    <w:rsid w:val="00DC038A"/>
    <w:rPr>
      <w:sz w:val="20"/>
      <w:szCs w:val="20"/>
    </w:rPr>
  </w:style>
  <w:style w:type="character" w:customStyle="1" w:styleId="a8">
    <w:name w:val="Текст сноски Знак"/>
    <w:link w:val="a7"/>
    <w:uiPriority w:val="99"/>
    <w:unhideWhenUsed/>
    <w:rsid w:val="00DC038A"/>
    <w:rPr>
      <w:sz w:val="20"/>
      <w:szCs w:val="20"/>
    </w:rPr>
  </w:style>
  <w:style w:type="character" w:styleId="a9">
    <w:name w:val="endnote reference"/>
    <w:uiPriority w:val="99"/>
    <w:semiHidden/>
    <w:unhideWhenUsed/>
    <w:rsid w:val="00DC038A"/>
    <w:rPr>
      <w:vertAlign w:val="superscript"/>
    </w:rPr>
  </w:style>
  <w:style w:type="paragraph" w:styleId="aa">
    <w:name w:val="endnote text"/>
    <w:link w:val="ab"/>
    <w:uiPriority w:val="99"/>
    <w:semiHidden/>
    <w:unhideWhenUsed/>
    <w:rsid w:val="00DC038A"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sid w:val="00DC038A"/>
    <w:rPr>
      <w:sz w:val="20"/>
      <w:szCs w:val="20"/>
    </w:rPr>
  </w:style>
  <w:style w:type="character" w:styleId="ac">
    <w:name w:val="Strong"/>
    <w:basedOn w:val="a0"/>
    <w:uiPriority w:val="22"/>
    <w:qFormat/>
    <w:rsid w:val="00CE37CB"/>
    <w:rPr>
      <w:b/>
      <w:bCs/>
    </w:rPr>
  </w:style>
  <w:style w:type="paragraph" w:styleId="ad">
    <w:name w:val="header"/>
    <w:basedOn w:val="a"/>
    <w:link w:val="ae"/>
    <w:uiPriority w:val="99"/>
    <w:semiHidden/>
    <w:unhideWhenUsed/>
    <w:rsid w:val="00B4782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B4782A"/>
  </w:style>
  <w:style w:type="paragraph" w:styleId="af">
    <w:name w:val="footer"/>
    <w:basedOn w:val="a"/>
    <w:link w:val="af0"/>
    <w:uiPriority w:val="99"/>
    <w:semiHidden/>
    <w:unhideWhenUsed/>
    <w:rsid w:val="00B4782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B4782A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6ADC27-8EE5-4CDE-A24E-F2EB6CD00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998</Words>
  <Characters>5693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plyakin</cp:lastModifiedBy>
  <cp:revision>8</cp:revision>
  <dcterms:created xsi:type="dcterms:W3CDTF">2026-05-06T08:13:00Z</dcterms:created>
  <dcterms:modified xsi:type="dcterms:W3CDTF">2026-08-25T08:38:00Z</dcterms:modified>
</cp:coreProperties>
</file>