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54728" w:rsidRDefault="00837071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ИНФОРМАЦИОННОЕ ПИСЬМО</w:t>
      </w:r>
    </w:p>
    <w:p w:rsidR="00F54728" w:rsidRDefault="00837071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Уважаемые коллеги!</w:t>
      </w:r>
    </w:p>
    <w:p w:rsidR="005014ED" w:rsidRDefault="00837071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Приглашаем Вас принять участие в работе </w:t>
      </w:r>
    </w:p>
    <w:p w:rsidR="005014ED" w:rsidRDefault="005014ED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5014ED">
        <w:rPr>
          <w:rFonts w:ascii="Times New Roman" w:hAnsi="Times New Roman" w:cs="Times New Roman"/>
          <w:b/>
          <w:bCs/>
          <w:sz w:val="24"/>
          <w:szCs w:val="24"/>
        </w:rPr>
        <w:t>Всероссийск</w:t>
      </w:r>
      <w:r>
        <w:rPr>
          <w:rFonts w:ascii="Times New Roman" w:hAnsi="Times New Roman" w:cs="Times New Roman"/>
          <w:b/>
          <w:bCs/>
          <w:sz w:val="24"/>
          <w:szCs w:val="24"/>
        </w:rPr>
        <w:t>ой</w:t>
      </w:r>
      <w:r w:rsidRPr="005014ED">
        <w:rPr>
          <w:rFonts w:ascii="Times New Roman" w:hAnsi="Times New Roman" w:cs="Times New Roman"/>
          <w:b/>
          <w:bCs/>
          <w:sz w:val="24"/>
          <w:szCs w:val="24"/>
        </w:rPr>
        <w:t xml:space="preserve"> научно-практическ</w:t>
      </w:r>
      <w:r>
        <w:rPr>
          <w:rFonts w:ascii="Times New Roman" w:hAnsi="Times New Roman" w:cs="Times New Roman"/>
          <w:b/>
          <w:bCs/>
          <w:sz w:val="24"/>
          <w:szCs w:val="24"/>
        </w:rPr>
        <w:t>ой</w:t>
      </w:r>
      <w:r w:rsidRPr="005014ED">
        <w:rPr>
          <w:rFonts w:ascii="Times New Roman" w:hAnsi="Times New Roman" w:cs="Times New Roman"/>
          <w:b/>
          <w:bCs/>
          <w:sz w:val="24"/>
          <w:szCs w:val="24"/>
        </w:rPr>
        <w:t xml:space="preserve"> конференци</w:t>
      </w:r>
      <w:r>
        <w:rPr>
          <w:rFonts w:ascii="Times New Roman" w:hAnsi="Times New Roman" w:cs="Times New Roman"/>
          <w:b/>
          <w:bCs/>
          <w:sz w:val="24"/>
          <w:szCs w:val="24"/>
        </w:rPr>
        <w:t>и</w:t>
      </w:r>
      <w:r w:rsidRPr="005014ED">
        <w:rPr>
          <w:rFonts w:ascii="Times New Roman" w:hAnsi="Times New Roman" w:cs="Times New Roman"/>
          <w:b/>
          <w:bCs/>
          <w:sz w:val="24"/>
          <w:szCs w:val="24"/>
        </w:rPr>
        <w:t xml:space="preserve"> с международным участием </w:t>
      </w:r>
    </w:p>
    <w:p w:rsidR="005014ED" w:rsidRDefault="005014ED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5014ED">
        <w:rPr>
          <w:rFonts w:ascii="Times New Roman" w:hAnsi="Times New Roman" w:cs="Times New Roman"/>
          <w:b/>
          <w:bCs/>
          <w:sz w:val="24"/>
          <w:szCs w:val="24"/>
        </w:rPr>
        <w:t>«Ментальное здоровье XXI века: актуальные вопросы и поиск ответов»</w:t>
      </w:r>
      <w:r w:rsidR="00837071">
        <w:rPr>
          <w:rFonts w:ascii="Times New Roman" w:hAnsi="Times New Roman" w:cs="Times New Roman"/>
          <w:sz w:val="24"/>
          <w:szCs w:val="24"/>
        </w:rPr>
        <w:t xml:space="preserve">, </w:t>
      </w:r>
    </w:p>
    <w:p w:rsidR="00F54728" w:rsidRDefault="00837071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которая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состоится </w:t>
      </w:r>
      <w:r>
        <w:rPr>
          <w:rFonts w:ascii="Times New Roman" w:hAnsi="Times New Roman" w:cs="Times New Roman"/>
          <w:b/>
          <w:bCs/>
          <w:sz w:val="24"/>
          <w:szCs w:val="24"/>
        </w:rPr>
        <w:t>24-25 апреля 2025 года</w:t>
      </w:r>
    </w:p>
    <w:p w:rsidR="00F54728" w:rsidRDefault="00837071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 рамках </w:t>
      </w:r>
    </w:p>
    <w:p w:rsidR="00741193" w:rsidRDefault="00837071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Петербургского международного конгресса по нейронаукам</w:t>
      </w:r>
      <w:r w:rsidR="00741193">
        <w:rPr>
          <w:rFonts w:ascii="Times New Roman" w:hAnsi="Times New Roman" w:cs="Times New Roman"/>
          <w:b/>
          <w:bCs/>
          <w:sz w:val="24"/>
          <w:szCs w:val="24"/>
        </w:rPr>
        <w:t xml:space="preserve">, </w:t>
      </w:r>
    </w:p>
    <w:p w:rsidR="00F54728" w:rsidRDefault="00741193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приуроченного к празднованию </w:t>
      </w:r>
      <w:r w:rsidRPr="00F30C51">
        <w:rPr>
          <w:rFonts w:ascii="Times New Roman" w:hAnsi="Times New Roman" w:cs="Times New Roman"/>
          <w:b/>
          <w:bCs/>
          <w:sz w:val="24"/>
          <w:szCs w:val="24"/>
        </w:rPr>
        <w:t>45-лети</w:t>
      </w:r>
      <w:r>
        <w:rPr>
          <w:rFonts w:ascii="Times New Roman" w:hAnsi="Times New Roman" w:cs="Times New Roman"/>
          <w:b/>
          <w:bCs/>
          <w:sz w:val="24"/>
          <w:szCs w:val="24"/>
        </w:rPr>
        <w:t>я</w:t>
      </w:r>
      <w:r w:rsidRPr="00F30C51">
        <w:rPr>
          <w:rFonts w:ascii="Times New Roman" w:hAnsi="Times New Roman" w:cs="Times New Roman"/>
          <w:b/>
          <w:bCs/>
          <w:sz w:val="24"/>
          <w:szCs w:val="24"/>
        </w:rPr>
        <w:t xml:space="preserve"> ФГБУ «НМИЦ им. В.А. Алмазова» Минздрава России</w:t>
      </w:r>
      <w:r>
        <w:rPr>
          <w:rFonts w:ascii="Times New Roman" w:hAnsi="Times New Roman" w:cs="Times New Roman"/>
          <w:b/>
          <w:bCs/>
          <w:sz w:val="24"/>
          <w:szCs w:val="24"/>
        </w:rPr>
        <w:t>.</w:t>
      </w:r>
    </w:p>
    <w:p w:rsidR="00F54728" w:rsidRDefault="00F54728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F54728" w:rsidRDefault="00F54728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F54728" w:rsidRPr="00741193" w:rsidRDefault="00837071" w:rsidP="00741193">
      <w:pPr>
        <w:spacing w:after="288" w:line="276" w:lineRule="auto"/>
        <w:ind w:firstLine="709"/>
        <w:jc w:val="both"/>
        <w:rPr>
          <w:color w:val="000000" w:themeColor="text1"/>
          <w:highlight w:val="white"/>
        </w:rPr>
      </w:pPr>
      <w:r>
        <w:rPr>
          <w:rFonts w:ascii="Times New Roman" w:hAnsi="Times New Roman" w:cs="Times New Roman"/>
          <w:color w:val="000000" w:themeColor="text1"/>
          <w:sz w:val="24"/>
          <w:szCs w:val="20"/>
          <w:highlight w:val="white"/>
        </w:rPr>
        <w:t xml:space="preserve">На мероприятии </w:t>
      </w:r>
      <w:r w:rsidR="005014ED">
        <w:rPr>
          <w:rFonts w:ascii="Times New Roman" w:hAnsi="Times New Roman" w:cs="Times New Roman"/>
          <w:color w:val="000000" w:themeColor="text1"/>
          <w:sz w:val="24"/>
          <w:szCs w:val="20"/>
        </w:rPr>
        <w:t>б</w:t>
      </w:r>
      <w:r w:rsidR="005014ED" w:rsidRPr="005014ED">
        <w:rPr>
          <w:rFonts w:ascii="Times New Roman" w:hAnsi="Times New Roman" w:cs="Times New Roman"/>
          <w:color w:val="000000" w:themeColor="text1"/>
          <w:sz w:val="24"/>
          <w:szCs w:val="20"/>
        </w:rPr>
        <w:t>удут представлены доклады по актуальным проблемам психического здоровья, рассмотрены современные достижения и инновации в областях психиатрии, психотерапии, психологии, наркологии и сексологии.</w:t>
      </w:r>
      <w:r>
        <w:rPr>
          <w:rFonts w:ascii="Times New Roman" w:hAnsi="Times New Roman" w:cs="Times New Roman"/>
          <w:color w:val="000000" w:themeColor="text1"/>
          <w:sz w:val="24"/>
          <w:szCs w:val="24"/>
          <w:highlight w:val="white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4"/>
          <w:szCs w:val="20"/>
          <w:highlight w:val="white"/>
        </w:rPr>
        <w:t xml:space="preserve">Планируется участие ведущих отечественных и зарубежных ученых </w:t>
      </w:r>
      <w:r w:rsidR="005014ED">
        <w:rPr>
          <w:rFonts w:ascii="Times New Roman" w:hAnsi="Times New Roman" w:cs="Times New Roman"/>
          <w:color w:val="000000" w:themeColor="text1"/>
          <w:sz w:val="24"/>
          <w:szCs w:val="20"/>
          <w:highlight w:val="white"/>
        </w:rPr>
        <w:t>в области расстройств психической сферы</w:t>
      </w:r>
      <w:r>
        <w:rPr>
          <w:rFonts w:ascii="Times New Roman" w:hAnsi="Times New Roman" w:cs="Times New Roman"/>
          <w:color w:val="000000" w:themeColor="text1"/>
          <w:sz w:val="24"/>
          <w:szCs w:val="20"/>
          <w:highlight w:val="white"/>
        </w:rPr>
        <w:t xml:space="preserve"> и специалистов смежных </w:t>
      </w:r>
      <w:r w:rsidR="00370E62">
        <w:rPr>
          <w:rFonts w:ascii="Times New Roman" w:hAnsi="Times New Roman" w:cs="Times New Roman"/>
          <w:color w:val="000000" w:themeColor="text1"/>
          <w:sz w:val="24"/>
          <w:szCs w:val="20"/>
          <w:highlight w:val="white"/>
        </w:rPr>
        <w:t>областей</w:t>
      </w:r>
      <w:r>
        <w:rPr>
          <w:rFonts w:ascii="Times New Roman" w:hAnsi="Times New Roman" w:cs="Times New Roman"/>
          <w:color w:val="000000" w:themeColor="text1"/>
          <w:sz w:val="24"/>
          <w:szCs w:val="20"/>
          <w:highlight w:val="white"/>
        </w:rPr>
        <w:t xml:space="preserve">, </w:t>
      </w:r>
      <w:r w:rsidR="00741193">
        <w:rPr>
          <w:rFonts w:ascii="Times New Roman" w:hAnsi="Times New Roman" w:cs="Times New Roman"/>
          <w:color w:val="000000" w:themeColor="text1"/>
          <w:sz w:val="24"/>
          <w:szCs w:val="20"/>
          <w:highlight w:val="white"/>
        </w:rPr>
        <w:t>руководителей</w:t>
      </w:r>
      <w:r>
        <w:rPr>
          <w:rFonts w:ascii="Times New Roman" w:hAnsi="Times New Roman" w:cs="Times New Roman"/>
          <w:color w:val="000000" w:themeColor="text1"/>
          <w:sz w:val="24"/>
          <w:szCs w:val="20"/>
          <w:highlight w:val="white"/>
        </w:rPr>
        <w:t xml:space="preserve"> системы здравоохранения </w:t>
      </w:r>
      <w:proofErr w:type="spellStart"/>
      <w:r>
        <w:rPr>
          <w:rFonts w:ascii="Times New Roman" w:hAnsi="Times New Roman" w:cs="Times New Roman"/>
          <w:color w:val="000000" w:themeColor="text1"/>
          <w:sz w:val="24"/>
          <w:szCs w:val="20"/>
          <w:highlight w:val="white"/>
        </w:rPr>
        <w:t>Российскои</w:t>
      </w:r>
      <w:proofErr w:type="spellEnd"/>
      <w:r>
        <w:rPr>
          <w:rFonts w:ascii="Times New Roman" w:hAnsi="Times New Roman" w:cs="Times New Roman"/>
          <w:color w:val="000000" w:themeColor="text1"/>
          <w:sz w:val="24"/>
          <w:szCs w:val="20"/>
          <w:highlight w:val="white"/>
        </w:rPr>
        <w:t>̆ Федерации и стран СНГ</w:t>
      </w:r>
      <w:proofErr w:type="gramStart"/>
      <w:r>
        <w:rPr>
          <w:rFonts w:ascii="Times New Roman" w:hAnsi="Times New Roman" w:cs="Times New Roman"/>
          <w:color w:val="000000" w:themeColor="text1"/>
          <w:sz w:val="24"/>
          <w:szCs w:val="20"/>
          <w:highlight w:val="white"/>
        </w:rPr>
        <w:t>.</w:t>
      </w:r>
      <w:proofErr w:type="gramEnd"/>
      <w:r w:rsidR="0091684D">
        <w:rPr>
          <w:rFonts w:ascii="Times New Roman" w:hAnsi="Times New Roman" w:cs="Times New Roman"/>
          <w:color w:val="000000" w:themeColor="text1"/>
          <w:sz w:val="24"/>
          <w:szCs w:val="20"/>
          <w:highlight w:val="white"/>
        </w:rPr>
        <w:t xml:space="preserve"> Конференция проводится под эгидой Российского общества психиатров.</w:t>
      </w:r>
    </w:p>
    <w:p w:rsidR="00F54728" w:rsidRDefault="00837071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bookmarkStart w:id="0" w:name="_Hlk179315716"/>
      <w:r>
        <w:rPr>
          <w:rFonts w:ascii="Times New Roman" w:hAnsi="Times New Roman" w:cs="Times New Roman"/>
          <w:sz w:val="24"/>
          <w:szCs w:val="24"/>
        </w:rPr>
        <w:t>В программе конференции планируется проведение пленарных и секционных заседаний, сателлитных симпозиумов, лекций ведущих ученых, мастер-классов и научных диалогов, клинических разборов и конкурса молодых ученых по следующим направлениям</w:t>
      </w:r>
      <w:bookmarkEnd w:id="0"/>
      <w:r>
        <w:rPr>
          <w:rFonts w:ascii="Times New Roman" w:hAnsi="Times New Roman" w:cs="Times New Roman"/>
          <w:sz w:val="24"/>
          <w:szCs w:val="24"/>
        </w:rPr>
        <w:t xml:space="preserve">: </w:t>
      </w:r>
    </w:p>
    <w:p w:rsidR="00A928A9" w:rsidRPr="00261A9D" w:rsidRDefault="00A928A9" w:rsidP="00A928A9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Актуальные вопросы этиологии и патогенеза </w:t>
      </w:r>
      <w:r w:rsidRPr="00261A9D">
        <w:rPr>
          <w:rFonts w:ascii="Times New Roman" w:hAnsi="Times New Roman" w:cs="Times New Roman"/>
          <w:sz w:val="24"/>
          <w:szCs w:val="24"/>
        </w:rPr>
        <w:t>психических заболеваний.</w:t>
      </w:r>
    </w:p>
    <w:p w:rsidR="00261A9D" w:rsidRPr="00261A9D" w:rsidRDefault="00A928A9" w:rsidP="00261A9D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Биопсихосоциальный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подход в сфере психического здоровья</w:t>
      </w:r>
      <w:r w:rsidR="0091684D">
        <w:rPr>
          <w:rFonts w:ascii="Times New Roman" w:hAnsi="Times New Roman" w:cs="Times New Roman"/>
          <w:sz w:val="24"/>
          <w:szCs w:val="24"/>
        </w:rPr>
        <w:t>.</w:t>
      </w:r>
    </w:p>
    <w:p w:rsidR="00261A9D" w:rsidRPr="00261A9D" w:rsidRDefault="00261A9D" w:rsidP="00261A9D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Острые психотические расстройства: современные подходы к терапии</w:t>
      </w:r>
      <w:r w:rsidRPr="00261A9D">
        <w:rPr>
          <w:rFonts w:ascii="Times New Roman" w:hAnsi="Times New Roman" w:cs="Times New Roman"/>
          <w:sz w:val="24"/>
          <w:szCs w:val="24"/>
        </w:rPr>
        <w:t>.</w:t>
      </w:r>
    </w:p>
    <w:p w:rsidR="00A928A9" w:rsidRPr="007D29B8" w:rsidRDefault="00A928A9" w:rsidP="00A928A9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bookmarkStart w:id="1" w:name="_GoBack"/>
      <w:proofErr w:type="spellStart"/>
      <w:r w:rsidRPr="007D29B8">
        <w:rPr>
          <w:rFonts w:ascii="Times New Roman" w:hAnsi="Times New Roman" w:cs="Times New Roman"/>
          <w:sz w:val="24"/>
          <w:szCs w:val="24"/>
        </w:rPr>
        <w:t>Малокурабельные</w:t>
      </w:r>
      <w:proofErr w:type="spellEnd"/>
      <w:r w:rsidRPr="007D29B8">
        <w:rPr>
          <w:rFonts w:ascii="Times New Roman" w:hAnsi="Times New Roman" w:cs="Times New Roman"/>
          <w:sz w:val="24"/>
          <w:szCs w:val="24"/>
        </w:rPr>
        <w:t xml:space="preserve"> психические расстройства: проблемы преодоления резистентности. </w:t>
      </w:r>
    </w:p>
    <w:bookmarkEnd w:id="1"/>
    <w:p w:rsidR="00261A9D" w:rsidRPr="00261A9D" w:rsidRDefault="00261A9D" w:rsidP="00261A9D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Химические и н</w:t>
      </w:r>
      <w:r w:rsidRPr="00261A9D">
        <w:rPr>
          <w:rFonts w:ascii="Times New Roman" w:hAnsi="Times New Roman" w:cs="Times New Roman"/>
          <w:sz w:val="24"/>
          <w:szCs w:val="24"/>
        </w:rPr>
        <w:t>ехимические зависимости: условия формирования, клинические проявления, вопросы профилактики.</w:t>
      </w:r>
    </w:p>
    <w:p w:rsidR="0091684D" w:rsidRDefault="00261A9D" w:rsidP="00261A9D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А</w:t>
      </w:r>
      <w:r w:rsidRPr="00261A9D">
        <w:rPr>
          <w:rFonts w:ascii="Times New Roman" w:hAnsi="Times New Roman" w:cs="Times New Roman"/>
          <w:sz w:val="24"/>
          <w:szCs w:val="24"/>
        </w:rPr>
        <w:t>утоагрессивно</w:t>
      </w:r>
      <w:r>
        <w:rPr>
          <w:rFonts w:ascii="Times New Roman" w:hAnsi="Times New Roman" w:cs="Times New Roman"/>
          <w:sz w:val="24"/>
          <w:szCs w:val="24"/>
        </w:rPr>
        <w:t>е</w:t>
      </w:r>
      <w:proofErr w:type="spellEnd"/>
      <w:r w:rsidRPr="00261A9D">
        <w:rPr>
          <w:rFonts w:ascii="Times New Roman" w:hAnsi="Times New Roman" w:cs="Times New Roman"/>
          <w:sz w:val="24"/>
          <w:szCs w:val="24"/>
        </w:rPr>
        <w:t xml:space="preserve"> поведени</w:t>
      </w:r>
      <w:r w:rsidR="0091684D">
        <w:rPr>
          <w:rFonts w:ascii="Times New Roman" w:hAnsi="Times New Roman" w:cs="Times New Roman"/>
          <w:sz w:val="24"/>
          <w:szCs w:val="24"/>
        </w:rPr>
        <w:t>е при различных психических расстройствах.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91684D" w:rsidRPr="0091684D" w:rsidRDefault="0091684D" w:rsidP="00261A9D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Психофармакотерапия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в амбулаторных и стационарных условиях.</w:t>
      </w:r>
    </w:p>
    <w:p w:rsidR="00261A9D" w:rsidRPr="00A928A9" w:rsidRDefault="00261A9D" w:rsidP="00261A9D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A928A9">
        <w:rPr>
          <w:rFonts w:ascii="Times New Roman" w:hAnsi="Times New Roman" w:cs="Times New Roman"/>
          <w:sz w:val="24"/>
          <w:szCs w:val="24"/>
        </w:rPr>
        <w:t>Психотерап</w:t>
      </w:r>
      <w:r w:rsidR="00A928A9" w:rsidRPr="00A928A9">
        <w:rPr>
          <w:rFonts w:ascii="Times New Roman" w:hAnsi="Times New Roman" w:cs="Times New Roman"/>
          <w:sz w:val="24"/>
          <w:szCs w:val="24"/>
        </w:rPr>
        <w:t>ия как специальность и область деятельности</w:t>
      </w:r>
      <w:r w:rsidRPr="00A928A9">
        <w:rPr>
          <w:rFonts w:ascii="Times New Roman" w:hAnsi="Times New Roman" w:cs="Times New Roman"/>
          <w:sz w:val="24"/>
          <w:szCs w:val="24"/>
        </w:rPr>
        <w:t>.</w:t>
      </w:r>
    </w:p>
    <w:p w:rsidR="0091684D" w:rsidRDefault="0091684D" w:rsidP="007D29B8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</w:t>
      </w:r>
      <w:r w:rsidR="00261A9D">
        <w:rPr>
          <w:rFonts w:ascii="Times New Roman" w:hAnsi="Times New Roman" w:cs="Times New Roman"/>
          <w:sz w:val="24"/>
          <w:szCs w:val="24"/>
        </w:rPr>
        <w:t>ексологическ</w:t>
      </w:r>
      <w:r>
        <w:rPr>
          <w:rFonts w:ascii="Times New Roman" w:hAnsi="Times New Roman" w:cs="Times New Roman"/>
          <w:sz w:val="24"/>
          <w:szCs w:val="24"/>
        </w:rPr>
        <w:t>ая</w:t>
      </w:r>
      <w:r w:rsidR="00261A9D">
        <w:rPr>
          <w:rFonts w:ascii="Times New Roman" w:hAnsi="Times New Roman" w:cs="Times New Roman"/>
          <w:sz w:val="24"/>
          <w:szCs w:val="24"/>
        </w:rPr>
        <w:t xml:space="preserve"> помощ</w:t>
      </w:r>
      <w:r>
        <w:rPr>
          <w:rFonts w:ascii="Times New Roman" w:hAnsi="Times New Roman" w:cs="Times New Roman"/>
          <w:sz w:val="24"/>
          <w:szCs w:val="24"/>
        </w:rPr>
        <w:t>ь</w:t>
      </w:r>
      <w:r w:rsidR="007D29B8">
        <w:rPr>
          <w:rFonts w:ascii="Times New Roman" w:hAnsi="Times New Roman" w:cs="Times New Roman"/>
          <w:sz w:val="24"/>
          <w:szCs w:val="24"/>
        </w:rPr>
        <w:t xml:space="preserve"> в современно</w:t>
      </w:r>
      <w:r>
        <w:rPr>
          <w:rFonts w:ascii="Times New Roman" w:hAnsi="Times New Roman" w:cs="Times New Roman"/>
          <w:sz w:val="24"/>
          <w:szCs w:val="24"/>
        </w:rPr>
        <w:t>й действительности.</w:t>
      </w:r>
    </w:p>
    <w:p w:rsidR="00A928A9" w:rsidRDefault="00A928A9" w:rsidP="00A928A9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261A9D">
        <w:rPr>
          <w:rFonts w:ascii="Times New Roman" w:hAnsi="Times New Roman" w:cs="Times New Roman"/>
          <w:sz w:val="24"/>
          <w:szCs w:val="24"/>
        </w:rPr>
        <w:t>Клинико-психо</w:t>
      </w:r>
      <w:r>
        <w:rPr>
          <w:rFonts w:ascii="Times New Roman" w:hAnsi="Times New Roman" w:cs="Times New Roman"/>
          <w:sz w:val="24"/>
          <w:szCs w:val="24"/>
        </w:rPr>
        <w:t xml:space="preserve">логические возможности в диагностике и лечении </w:t>
      </w:r>
      <w:r w:rsidRPr="00261A9D">
        <w:rPr>
          <w:rFonts w:ascii="Times New Roman" w:hAnsi="Times New Roman" w:cs="Times New Roman"/>
          <w:sz w:val="24"/>
          <w:szCs w:val="24"/>
        </w:rPr>
        <w:t xml:space="preserve">психических </w:t>
      </w:r>
      <w:r>
        <w:rPr>
          <w:rFonts w:ascii="Times New Roman" w:hAnsi="Times New Roman" w:cs="Times New Roman"/>
          <w:sz w:val="24"/>
          <w:szCs w:val="24"/>
        </w:rPr>
        <w:t>расстройств</w:t>
      </w:r>
      <w:r w:rsidRPr="00261A9D">
        <w:rPr>
          <w:rFonts w:ascii="Times New Roman" w:hAnsi="Times New Roman" w:cs="Times New Roman"/>
          <w:sz w:val="24"/>
          <w:szCs w:val="24"/>
        </w:rPr>
        <w:t>.</w:t>
      </w:r>
    </w:p>
    <w:p w:rsidR="00A928A9" w:rsidRPr="00261A9D" w:rsidRDefault="00A928A9" w:rsidP="00A928A9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A928A9">
        <w:rPr>
          <w:rFonts w:ascii="Times New Roman" w:hAnsi="Times New Roman" w:cs="Times New Roman"/>
          <w:sz w:val="24"/>
          <w:szCs w:val="24"/>
        </w:rPr>
        <w:t>Этические и правовые аспекты психиатрической помощи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7D29B8" w:rsidRDefault="0091684D" w:rsidP="007D29B8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Экспертиза в разных областях психического здоровья</w:t>
      </w:r>
      <w:r w:rsidR="00A928A9">
        <w:rPr>
          <w:rFonts w:ascii="Times New Roman" w:hAnsi="Times New Roman" w:cs="Times New Roman"/>
          <w:sz w:val="24"/>
          <w:szCs w:val="24"/>
        </w:rPr>
        <w:t>.</w:t>
      </w:r>
    </w:p>
    <w:p w:rsidR="00A928A9" w:rsidRDefault="00A928A9" w:rsidP="007D29B8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Социальная адаптация и качество жизни при расстройствах психической сферы.</w:t>
      </w:r>
    </w:p>
    <w:p w:rsidR="00F54728" w:rsidRDefault="00F54728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F54728" w:rsidRDefault="00837071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ФОРМЫ УЧАСТИЯ </w:t>
      </w:r>
    </w:p>
    <w:p w:rsidR="00F54728" w:rsidRDefault="00837071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Публикация тезисов </w:t>
      </w:r>
    </w:p>
    <w:p w:rsidR="00F54728" w:rsidRDefault="00837071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Выступления с докладом </w:t>
      </w:r>
    </w:p>
    <w:p w:rsidR="00F54728" w:rsidRDefault="00837071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Слушатель </w:t>
      </w:r>
    </w:p>
    <w:p w:rsidR="00F54728" w:rsidRDefault="00F54728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F54728" w:rsidRDefault="00837071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Прием тезисов - до </w:t>
      </w:r>
      <w:r>
        <w:rPr>
          <w:rFonts w:ascii="Times New Roman" w:hAnsi="Times New Roman" w:cs="Times New Roman"/>
          <w:b/>
          <w:bCs/>
          <w:color w:val="FF0000"/>
          <w:sz w:val="24"/>
          <w:szCs w:val="24"/>
        </w:rPr>
        <w:t>2</w:t>
      </w:r>
      <w:r w:rsidR="00370E62">
        <w:rPr>
          <w:rFonts w:ascii="Times New Roman" w:hAnsi="Times New Roman" w:cs="Times New Roman"/>
          <w:b/>
          <w:bCs/>
          <w:color w:val="FF0000"/>
          <w:sz w:val="24"/>
          <w:szCs w:val="24"/>
        </w:rPr>
        <w:t>4</w:t>
      </w:r>
      <w:r>
        <w:rPr>
          <w:rFonts w:ascii="Times New Roman" w:hAnsi="Times New Roman" w:cs="Times New Roman"/>
          <w:b/>
          <w:bCs/>
          <w:color w:val="FF0000"/>
          <w:sz w:val="24"/>
          <w:szCs w:val="24"/>
        </w:rPr>
        <w:t xml:space="preserve"> февраля 2025 года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включительно по электронной почте: polenovsreadings@yandex.ru вложенным файлом Документ Word c указанием в теме письма «</w:t>
      </w:r>
      <w:r w:rsidR="005014ED" w:rsidRPr="005014ED">
        <w:rPr>
          <w:rFonts w:ascii="Times New Roman" w:hAnsi="Times New Roman" w:cs="Times New Roman"/>
          <w:sz w:val="24"/>
          <w:szCs w:val="24"/>
        </w:rPr>
        <w:t>Ментальное здоровье XXI века</w:t>
      </w:r>
      <w:r>
        <w:rPr>
          <w:rFonts w:ascii="Times New Roman" w:hAnsi="Times New Roman" w:cs="Times New Roman"/>
          <w:sz w:val="24"/>
          <w:szCs w:val="24"/>
        </w:rPr>
        <w:t xml:space="preserve">». </w:t>
      </w:r>
    </w:p>
    <w:p w:rsidR="00F54728" w:rsidRDefault="00837071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Тезисы будут опубликованы в Специальном выпуске Российского нейрохирургического журнала им. проф. А. Л. Поленова (РИНЦ). </w:t>
      </w:r>
    </w:p>
    <w:p w:rsidR="00F54728" w:rsidRDefault="00837071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Порядок оформления тезисов: </w:t>
      </w:r>
      <w:r>
        <w:rPr>
          <w:rFonts w:ascii="Times New Roman" w:hAnsi="Times New Roman" w:cs="Times New Roman"/>
          <w:sz w:val="24"/>
          <w:szCs w:val="24"/>
        </w:rPr>
        <w:t>Название тезисов, фамилии и инициалы авторов, названия организаций полностью, город, адреса организаций, контактные телефоны, e-</w:t>
      </w:r>
      <w:proofErr w:type="spellStart"/>
      <w:r>
        <w:rPr>
          <w:rFonts w:ascii="Times New Roman" w:hAnsi="Times New Roman" w:cs="Times New Roman"/>
          <w:sz w:val="24"/>
          <w:szCs w:val="24"/>
        </w:rPr>
        <w:t>mail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текст тезисов. Тезисы не более 3-х страниц, без списка литературы. </w:t>
      </w:r>
    </w:p>
    <w:p w:rsidR="00F54728" w:rsidRDefault="00837071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Публикация тезисов бесплатн</w:t>
      </w:r>
      <w:r w:rsidR="00370E62">
        <w:rPr>
          <w:rFonts w:ascii="Times New Roman" w:hAnsi="Times New Roman" w:cs="Times New Roman"/>
          <w:b/>
          <w:bCs/>
          <w:sz w:val="24"/>
          <w:szCs w:val="24"/>
        </w:rPr>
        <w:t>ая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. </w:t>
      </w:r>
    </w:p>
    <w:p w:rsidR="00F54728" w:rsidRDefault="00837071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Заявки на доклады </w:t>
      </w:r>
      <w:r>
        <w:rPr>
          <w:rFonts w:ascii="Times New Roman" w:hAnsi="Times New Roman" w:cs="Times New Roman"/>
          <w:sz w:val="24"/>
          <w:szCs w:val="24"/>
        </w:rPr>
        <w:t xml:space="preserve">принимаются </w:t>
      </w:r>
      <w:r>
        <w:rPr>
          <w:rFonts w:ascii="Times New Roman" w:hAnsi="Times New Roman" w:cs="Times New Roman"/>
          <w:b/>
          <w:bCs/>
          <w:color w:val="FF0000"/>
          <w:sz w:val="24"/>
          <w:szCs w:val="24"/>
        </w:rPr>
        <w:t>до 2</w:t>
      </w:r>
      <w:r w:rsidR="00370E62">
        <w:rPr>
          <w:rFonts w:ascii="Times New Roman" w:hAnsi="Times New Roman" w:cs="Times New Roman"/>
          <w:b/>
          <w:bCs/>
          <w:color w:val="FF0000"/>
          <w:sz w:val="24"/>
          <w:szCs w:val="24"/>
        </w:rPr>
        <w:t>4</w:t>
      </w:r>
      <w:r>
        <w:rPr>
          <w:rFonts w:ascii="Times New Roman" w:hAnsi="Times New Roman" w:cs="Times New Roman"/>
          <w:b/>
          <w:bCs/>
          <w:color w:val="FF0000"/>
          <w:sz w:val="24"/>
          <w:szCs w:val="24"/>
        </w:rPr>
        <w:t xml:space="preserve"> февраля 2025 года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включительно по электронной почте thesis@almazovcentre.ru вложенным файлом Документ Word c темой письма </w:t>
      </w:r>
      <w:r>
        <w:rPr>
          <w:rFonts w:ascii="Times New Roman" w:hAnsi="Times New Roman" w:cs="Times New Roman"/>
          <w:b/>
          <w:bCs/>
          <w:sz w:val="24"/>
          <w:szCs w:val="24"/>
        </w:rPr>
        <w:t>«</w:t>
      </w:r>
      <w:r w:rsidR="005014ED" w:rsidRPr="005014ED">
        <w:rPr>
          <w:rFonts w:ascii="Times New Roman" w:hAnsi="Times New Roman" w:cs="Times New Roman"/>
          <w:sz w:val="24"/>
          <w:szCs w:val="24"/>
        </w:rPr>
        <w:t>Ментальное здоровье XXI века</w:t>
      </w:r>
      <w:r>
        <w:rPr>
          <w:rFonts w:ascii="Times New Roman" w:hAnsi="Times New Roman" w:cs="Times New Roman"/>
          <w:sz w:val="24"/>
          <w:szCs w:val="24"/>
        </w:rPr>
        <w:t xml:space="preserve">» и следующей̆ информацией̆: название доклада; Ф.И.О., должность и место работы основного докладчика; Ф.И.О. содокладчиков; краткая аннотация доклада. </w:t>
      </w:r>
    </w:p>
    <w:p w:rsidR="00F54728" w:rsidRDefault="00837071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Требования к выступлениям с устным докладом: продолжительность устного доклада – 20 минут на пленарном заседании, 15 минут на секционных заседаниях. </w:t>
      </w:r>
    </w:p>
    <w:p w:rsidR="00F54728" w:rsidRDefault="00837071" w:rsidP="00370E62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РЕГИСТРАЦИЯ</w:t>
      </w:r>
    </w:p>
    <w:p w:rsidR="00F54728" w:rsidRDefault="00837071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Электронная регистрация осуществляется на сайте www.almazovcentre.ru. 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Регистрация участников обязательна и осуществляется бесплатно. </w:t>
      </w:r>
    </w:p>
    <w:p w:rsidR="00F54728" w:rsidRDefault="00837071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Всем участникам конференции будут предоставлены именные бейджи, которые являются пропуском на научные заседания и выставку. </w:t>
      </w:r>
    </w:p>
    <w:p w:rsidR="00370E62" w:rsidRDefault="00370E62" w:rsidP="00370E62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370E62" w:rsidRPr="00370E62" w:rsidRDefault="00370E62" w:rsidP="00370E62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370E62">
        <w:rPr>
          <w:rFonts w:ascii="Times New Roman" w:hAnsi="Times New Roman" w:cs="Times New Roman"/>
          <w:b/>
          <w:bCs/>
          <w:sz w:val="24"/>
          <w:szCs w:val="24"/>
        </w:rPr>
        <w:t>Место проведения:</w:t>
      </w:r>
    </w:p>
    <w:p w:rsidR="00370E62" w:rsidRPr="00370E62" w:rsidRDefault="00370E62" w:rsidP="00370E62">
      <w:pPr>
        <w:jc w:val="center"/>
        <w:rPr>
          <w:rFonts w:ascii="Times New Roman" w:hAnsi="Times New Roman" w:cs="Times New Roman"/>
          <w:sz w:val="24"/>
          <w:szCs w:val="24"/>
        </w:rPr>
      </w:pPr>
      <w:r w:rsidRPr="00370E62">
        <w:rPr>
          <w:rFonts w:ascii="Times New Roman" w:hAnsi="Times New Roman" w:cs="Times New Roman"/>
          <w:sz w:val="24"/>
          <w:szCs w:val="24"/>
        </w:rPr>
        <w:t xml:space="preserve">Санкт-Петербург, ул. </w:t>
      </w:r>
      <w:proofErr w:type="spellStart"/>
      <w:r w:rsidRPr="00370E62">
        <w:rPr>
          <w:rFonts w:ascii="Times New Roman" w:hAnsi="Times New Roman" w:cs="Times New Roman"/>
          <w:sz w:val="24"/>
          <w:szCs w:val="24"/>
        </w:rPr>
        <w:t>Аккуратова</w:t>
      </w:r>
      <w:proofErr w:type="spellEnd"/>
      <w:r w:rsidRPr="00370E62">
        <w:rPr>
          <w:rFonts w:ascii="Times New Roman" w:hAnsi="Times New Roman" w:cs="Times New Roman"/>
          <w:sz w:val="24"/>
          <w:szCs w:val="24"/>
        </w:rPr>
        <w:t>, д. 2</w:t>
      </w:r>
    </w:p>
    <w:p w:rsidR="00370E62" w:rsidRPr="00370E62" w:rsidRDefault="00370E62" w:rsidP="00370E62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F54728" w:rsidRDefault="00837071" w:rsidP="00370E62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Контакты:</w:t>
      </w:r>
    </w:p>
    <w:p w:rsidR="00F54728" w:rsidRDefault="00837071" w:rsidP="00370E62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Отдел развития сотрудничества и маркетинга</w:t>
      </w:r>
    </w:p>
    <w:p w:rsidR="00F54728" w:rsidRDefault="00837071" w:rsidP="00370E62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lastRenderedPageBreak/>
        <w:t>ФГБУ «НМИЦ им. В. А. Алмазова» Минздрава России</w:t>
      </w:r>
    </w:p>
    <w:p w:rsidR="00F54728" w:rsidRPr="00370E62" w:rsidRDefault="00837071" w:rsidP="00370E62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70E62">
        <w:rPr>
          <w:rFonts w:ascii="Times New Roman" w:hAnsi="Times New Roman" w:cs="Times New Roman"/>
          <w:color w:val="000000" w:themeColor="text1"/>
          <w:sz w:val="24"/>
          <w:szCs w:val="24"/>
        </w:rPr>
        <w:t>Певнева Екатерина Александровна</w:t>
      </w:r>
    </w:p>
    <w:p w:rsidR="00F54728" w:rsidRPr="0091684D" w:rsidRDefault="00837071" w:rsidP="00370E62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</w:pPr>
      <w:proofErr w:type="gramStart"/>
      <w:r w:rsidRPr="00370E62">
        <w:rPr>
          <w:rFonts w:ascii="Times New Roman" w:hAnsi="Times New Roman" w:cs="Times New Roman"/>
          <w:color w:val="000000" w:themeColor="text1"/>
          <w:sz w:val="24"/>
          <w:szCs w:val="24"/>
        </w:rPr>
        <w:t>Е</w:t>
      </w:r>
      <w:proofErr w:type="gramEnd"/>
      <w:r w:rsidRPr="0091684D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-mail: Pevneva_EA@almazovcentre.ru</w:t>
      </w:r>
    </w:p>
    <w:p w:rsidR="00F54728" w:rsidRDefault="00837071" w:rsidP="00370E62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Отдел информационного обеспечения и организации мероприятий</w:t>
      </w:r>
    </w:p>
    <w:p w:rsidR="00F54728" w:rsidRDefault="00837071" w:rsidP="00370E62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ФГБУ «НМИЦ им. В. А. Алмазова» Минздрава России</w:t>
      </w:r>
    </w:p>
    <w:p w:rsidR="00F54728" w:rsidRPr="00741193" w:rsidRDefault="00837071" w:rsidP="00370E62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</w:rPr>
        <w:t>Тел</w:t>
      </w:r>
      <w:r w:rsidRPr="00741193">
        <w:rPr>
          <w:rFonts w:ascii="Times New Roman" w:hAnsi="Times New Roman" w:cs="Times New Roman"/>
          <w:sz w:val="24"/>
          <w:szCs w:val="24"/>
          <w:lang w:val="en-US"/>
        </w:rPr>
        <w:t>.: +7 (812) 702-37-17</w:t>
      </w:r>
    </w:p>
    <w:p w:rsidR="00F54728" w:rsidRPr="00741193" w:rsidRDefault="00837071" w:rsidP="00370E62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r w:rsidRPr="00741193">
        <w:rPr>
          <w:rFonts w:ascii="Times New Roman" w:hAnsi="Times New Roman" w:cs="Times New Roman"/>
          <w:sz w:val="24"/>
          <w:szCs w:val="24"/>
          <w:lang w:val="en-US"/>
        </w:rPr>
        <w:t>E-mail: conference@almazovcentre.ru</w:t>
      </w:r>
    </w:p>
    <w:sectPr w:rsidR="00F54728" w:rsidRPr="0074119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77333" w:rsidRDefault="00677333">
      <w:pPr>
        <w:spacing w:after="0" w:line="240" w:lineRule="auto"/>
      </w:pPr>
      <w:r>
        <w:separator/>
      </w:r>
    </w:p>
  </w:endnote>
  <w:endnote w:type="continuationSeparator" w:id="0">
    <w:p w:rsidR="00677333" w:rsidRDefault="0067733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77333" w:rsidRDefault="00677333">
      <w:pPr>
        <w:spacing w:after="0" w:line="240" w:lineRule="auto"/>
      </w:pPr>
      <w:r>
        <w:separator/>
      </w:r>
    </w:p>
  </w:footnote>
  <w:footnote w:type="continuationSeparator" w:id="0">
    <w:p w:rsidR="00677333" w:rsidRDefault="0067733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AE454F7"/>
    <w:multiLevelType w:val="hybridMultilevel"/>
    <w:tmpl w:val="C47E984E"/>
    <w:lvl w:ilvl="0" w:tplc="801055CC">
      <w:start w:val="1"/>
      <w:numFmt w:val="bullet"/>
      <w:lvlText w:val="·"/>
      <w:lvlJc w:val="left"/>
      <w:pPr>
        <w:ind w:left="720" w:hanging="360"/>
      </w:pPr>
      <w:rPr>
        <w:rFonts w:ascii="Symbol" w:eastAsia="Symbol" w:hAnsi="Symbol" w:cs="Symbol" w:hint="default"/>
      </w:rPr>
    </w:lvl>
    <w:lvl w:ilvl="1" w:tplc="DAF0B348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4B64CA04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7B9226F2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89A4FE30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F9C48842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E17612D0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0A2A387C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51522EB2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1">
    <w:nsid w:val="4EC352EF"/>
    <w:multiLevelType w:val="hybridMultilevel"/>
    <w:tmpl w:val="D092EF04"/>
    <w:lvl w:ilvl="0" w:tplc="2AD477D4">
      <w:start w:val="1"/>
      <w:numFmt w:val="bullet"/>
      <w:lvlText w:val="·"/>
      <w:lvlJc w:val="left"/>
      <w:pPr>
        <w:ind w:left="720" w:hanging="360"/>
      </w:pPr>
      <w:rPr>
        <w:rFonts w:ascii="Symbol" w:eastAsia="Symbol" w:hAnsi="Symbol" w:cs="Symbol" w:hint="default"/>
      </w:rPr>
    </w:lvl>
    <w:lvl w:ilvl="1" w:tplc="967A29B6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9E083A68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FE6E4E36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07B60C16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F072DDB2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A1FE3612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C3B0EBCA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373EA04E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54728"/>
    <w:rsid w:val="000B1137"/>
    <w:rsid w:val="00261A9D"/>
    <w:rsid w:val="00304285"/>
    <w:rsid w:val="00370E62"/>
    <w:rsid w:val="005014ED"/>
    <w:rsid w:val="00677333"/>
    <w:rsid w:val="00740BD3"/>
    <w:rsid w:val="00741193"/>
    <w:rsid w:val="007D29B8"/>
    <w:rsid w:val="00837071"/>
    <w:rsid w:val="0091684D"/>
    <w:rsid w:val="00A928A9"/>
    <w:rsid w:val="00F547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paragraph" w:styleId="a4">
    <w:name w:val="No Spacing"/>
    <w:uiPriority w:val="1"/>
    <w:qFormat/>
    <w:pPr>
      <w:spacing w:after="0" w:line="240" w:lineRule="auto"/>
    </w:pPr>
  </w:style>
  <w:style w:type="paragraph" w:styleId="a5">
    <w:name w:val="Title"/>
    <w:basedOn w:val="a"/>
    <w:next w:val="a"/>
    <w:link w:val="a6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6">
    <w:name w:val="Название Знак"/>
    <w:basedOn w:val="a0"/>
    <w:link w:val="a5"/>
    <w:uiPriority w:val="10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pPr>
      <w:spacing w:before="200" w:after="200"/>
    </w:pPr>
    <w:rPr>
      <w:sz w:val="24"/>
      <w:szCs w:val="24"/>
    </w:rPr>
  </w:style>
  <w:style w:type="character" w:customStyle="1" w:styleId="a8">
    <w:name w:val="Подзаголовок Знак"/>
    <w:basedOn w:val="a0"/>
    <w:link w:val="a7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9">
    <w:name w:val="Intense Quote"/>
    <w:basedOn w:val="a"/>
    <w:next w:val="a"/>
    <w:link w:val="a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Pr>
      <w:i/>
    </w:rPr>
  </w:style>
  <w:style w:type="paragraph" w:styleId="ab">
    <w:name w:val="header"/>
    <w:basedOn w:val="a"/>
    <w:link w:val="ac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</w:style>
  <w:style w:type="paragraph" w:styleId="ad">
    <w:name w:val="footer"/>
    <w:basedOn w:val="a"/>
    <w:link w:val="ae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FooterChar">
    <w:name w:val="Footer Char"/>
    <w:basedOn w:val="a0"/>
    <w:uiPriority w:val="99"/>
  </w:style>
  <w:style w:type="paragraph" w:styleId="af">
    <w:name w:val="caption"/>
    <w:basedOn w:val="a"/>
    <w:next w:val="a"/>
    <w:uiPriority w:val="35"/>
    <w:semiHidden/>
    <w:unhideWhenUsed/>
    <w:qFormat/>
    <w:pPr>
      <w:spacing w:line="276" w:lineRule="auto"/>
    </w:pPr>
    <w:rPr>
      <w:b/>
      <w:bCs/>
      <w:color w:val="4472C4" w:themeColor="accent1"/>
      <w:sz w:val="18"/>
      <w:szCs w:val="18"/>
    </w:rPr>
  </w:style>
  <w:style w:type="character" w:customStyle="1" w:styleId="ae">
    <w:name w:val="Нижний колонтитул Знак"/>
    <w:link w:val="ad"/>
    <w:uiPriority w:val="99"/>
  </w:style>
  <w:style w:type="table" w:styleId="af0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PlainTable1">
    <w:name w:val="Plain Table 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37DC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B9BD5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  <w:insideV w:val="single" w:sz="4" w:space="0" w:color="95AFDD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37DC8" w:themeColor="accent1" w:themeTint="EA"/>
          <w:left w:val="single" w:sz="4" w:space="0" w:color="537DC8" w:themeColor="accent1" w:themeTint="EA"/>
          <w:bottom w:val="single" w:sz="4" w:space="0" w:color="537DC8" w:themeColor="accent1" w:themeTint="EA"/>
          <w:right w:val="single" w:sz="4" w:space="0" w:color="537DC8" w:themeColor="accent1" w:themeTint="EA"/>
        </w:tcBorders>
        <w:shd w:val="clear" w:color="537DC8" w:themeColor="accent1" w:themeTint="EA" w:fill="537DC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B9BD5" w:themeColor="accent5"/>
          <w:left w:val="single" w:sz="4" w:space="0" w:color="5B9BD5" w:themeColor="accent5"/>
          <w:bottom w:val="single" w:sz="4" w:space="0" w:color="5B9BD5" w:themeColor="accent5"/>
          <w:right w:val="single" w:sz="4" w:space="0" w:color="5B9BD5" w:themeColor="accent5"/>
        </w:tcBorders>
        <w:shd w:val="clear" w:color="5B9BD5" w:themeColor="accent5" w:fill="5B9BD5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5Dark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1" w:themeTint="34" w:fill="D8E2F3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1" w:fill="4472C4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band1Vert">
      <w:tblPr/>
      <w:tcPr>
        <w:shd w:val="clear" w:color="A9BEE4" w:themeColor="accent1" w:themeTint="75" w:fill="A9BEE4" w:themeFill="accent1" w:themeFillTint="75"/>
      </w:tcPr>
    </w:tblStylePr>
    <w:tblStylePr w:type="band1Horz">
      <w:tblPr/>
      <w:tcPr>
        <w:shd w:val="clear" w:color="A9BEE4" w:themeColor="accent1" w:themeTint="75" w:fill="A9BEE4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5" w:themeTint="34" w:fill="DDEAF6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5" w:fill="5B9BD5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band1Vert">
      <w:tblPr/>
      <w:tcPr>
        <w:shd w:val="clear" w:color="B3D0EB" w:themeColor="accent5" w:themeTint="75" w:fill="B3D0EB" w:themeFill="accent5" w:themeFillTint="75"/>
      </w:tcPr>
    </w:tblStylePr>
    <w:tblStylePr w:type="band1Horz">
      <w:tblPr/>
      <w:tcPr>
        <w:shd w:val="clear" w:color="B3D0EB" w:themeColor="accent5" w:themeTint="75" w:fill="B3D0EB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0B7E1" w:themeColor="accent1" w:themeTint="80"/>
        <w:left w:val="single" w:sz="4" w:space="0" w:color="A0B7E1" w:themeColor="accent1" w:themeTint="80"/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</w:tblPr>
    <w:tblStylePr w:type="firstRow">
      <w:rPr>
        <w:b/>
        <w:color w:val="A0B7E1" w:themeColor="accent1" w:themeTint="80" w:themeShade="95"/>
      </w:rPr>
      <w:tblPr/>
      <w:tcPr>
        <w:tcBorders>
          <w:bottom w:val="single" w:sz="12" w:space="0" w:color="A0B7E1" w:themeColor="accent1" w:themeTint="80"/>
        </w:tcBorders>
      </w:tcPr>
    </w:tblStylePr>
    <w:tblStylePr w:type="lastRow">
      <w:rPr>
        <w:b/>
        <w:color w:val="A0B7E1" w:themeColor="accent1" w:themeTint="80" w:themeShade="95"/>
      </w:rPr>
    </w:tblStylePr>
    <w:tblStylePr w:type="firstCol">
      <w:rPr>
        <w:b/>
        <w:color w:val="A0B7E1" w:themeColor="accent1" w:themeTint="80" w:themeShade="95"/>
      </w:rPr>
    </w:tblStylePr>
    <w:tblStylePr w:type="lastCol">
      <w:rPr>
        <w:b/>
        <w:color w:val="A0B7E1" w:themeColor="accent1" w:themeTint="80" w:themeShade="95"/>
      </w:rPr>
    </w:tblStylePr>
    <w:tblStylePr w:type="band1Vert"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A0B7E1" w:themeColor="accent1" w:themeTint="80" w:themeShade="95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2Horz">
      <w:rPr>
        <w:rFonts w:ascii="Arial" w:hAnsi="Arial"/>
        <w:color w:val="A0B7E1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5"/>
        <w:left w:val="single" w:sz="4" w:space="0" w:color="5B9BD5" w:themeColor="accent5"/>
        <w:bottom w:val="single" w:sz="4" w:space="0" w:color="5B9BD5" w:themeColor="accent5"/>
        <w:right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5B9BD5" w:themeColor="accent5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</w:tblPr>
    <w:tblStylePr w:type="firstRow">
      <w:rPr>
        <w:rFonts w:ascii="Arial" w:hAnsi="Arial"/>
        <w:b/>
        <w:color w:val="A0B7E1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0B7E1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0B7E1" w:themeColor="accent1" w:themeTint="80" w:themeShade="95"/>
        <w:sz w:val="22"/>
      </w:rPr>
      <w:tblPr/>
      <w:tcPr>
        <w:tcBorders>
          <w:top w:val="single" w:sz="4" w:space="0" w:color="A0B7E1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0B7E1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0B7E1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0B7E1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0B7E1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A0B7E1" w:themeColor="accent1" w:themeTint="80" w:themeShade="95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2Horz">
      <w:rPr>
        <w:rFonts w:ascii="Arial" w:hAnsi="Arial"/>
        <w:color w:val="A0B7E1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5A5A5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A5A5A5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</w:tblPr>
    <w:tblStylePr w:type="firstRow">
      <w:rPr>
        <w:rFonts w:ascii="Arial" w:hAnsi="Arial"/>
        <w:b/>
        <w:color w:val="245A8D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2C6E7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45A8D" w:themeColor="accent5" w:themeShade="95"/>
        <w:sz w:val="22"/>
      </w:rPr>
      <w:tblPr/>
      <w:tcPr>
        <w:tcBorders>
          <w:top w:val="single" w:sz="4" w:space="0" w:color="A2C6E7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2C6E7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5" w:themeShade="95"/>
        <w:sz w:val="22"/>
      </w:rPr>
      <w:tblPr/>
      <w:tcPr>
        <w:tcBorders>
          <w:top w:val="none" w:sz="0" w:space="0" w:color="auto"/>
          <w:left w:val="single" w:sz="4" w:space="0" w:color="A2C6E7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DD394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single" w:sz="4" w:space="0" w:color="ADD394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2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1" w:themeTint="90"/>
        <w:bottom w:val="single" w:sz="4" w:space="0" w:color="95AFDD" w:themeColor="accent1" w:themeTint="90"/>
        <w:insideH w:val="single" w:sz="4" w:space="0" w:color="95AFDD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5" w:themeTint="90"/>
        <w:bottom w:val="single" w:sz="4" w:space="0" w:color="A2C6E7" w:themeColor="accent5" w:themeTint="90"/>
        <w:insideH w:val="single" w:sz="4" w:space="0" w:color="A2C6E7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3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472C4" w:themeColor="accent1"/>
        <w:left w:val="single" w:sz="4" w:space="0" w:color="4472C4" w:themeColor="accent1"/>
        <w:bottom w:val="single" w:sz="4" w:space="0" w:color="4472C4" w:themeColor="accent1"/>
        <w:right w:val="single" w:sz="4" w:space="0" w:color="4472C4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472C4" w:themeColor="accent1"/>
          <w:right w:val="single" w:sz="4" w:space="0" w:color="4472C4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472C4" w:themeColor="accent1"/>
          <w:bottom w:val="single" w:sz="4" w:space="0" w:color="4472C4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C2E5" w:themeColor="accent5" w:themeTint="9A"/>
        <w:left w:val="single" w:sz="4" w:space="0" w:color="9BC2E5" w:themeColor="accent5" w:themeTint="9A"/>
        <w:bottom w:val="single" w:sz="4" w:space="0" w:color="9BC2E5" w:themeColor="accent5" w:themeTint="9A"/>
        <w:right w:val="single" w:sz="4" w:space="0" w:color="9BC2E5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C2E5" w:themeColor="accent5" w:themeTint="9A" w:fill="9BC2E5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BC2E5" w:themeColor="accent5" w:themeTint="9A"/>
          <w:right w:val="single" w:sz="4" w:space="0" w:color="9BC2E5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BC2E5" w:themeColor="accent5" w:themeTint="9A"/>
          <w:bottom w:val="single" w:sz="4" w:space="0" w:color="9BC2E5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5Dark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4472C4" w:themeColor="accent1"/>
        <w:left w:val="single" w:sz="32" w:space="0" w:color="4472C4" w:themeColor="accent1"/>
        <w:bottom w:val="single" w:sz="32" w:space="0" w:color="4472C4" w:themeColor="accent1"/>
        <w:right w:val="single" w:sz="32" w:space="0" w:color="4472C4" w:themeColor="accent1"/>
      </w:tblBorders>
      <w:shd w:val="clear" w:color="4472C4" w:themeColor="accent1" w:fill="4472C4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472C4" w:themeColor="accent1"/>
          <w:bottom w:val="single" w:sz="12" w:space="0" w:color="FFFFFF" w:themeColor="light1"/>
        </w:tcBorders>
        <w:shd w:val="clear" w:color="4472C4" w:themeColor="accent1" w:fill="4472C4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472C4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472C4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472C4" w:themeColor="accent1" w:fill="4472C4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4472C4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4472C4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9BC2E5" w:themeColor="accent5" w:themeTint="9A"/>
        <w:left w:val="single" w:sz="32" w:space="0" w:color="9BC2E5" w:themeColor="accent5" w:themeTint="9A"/>
        <w:bottom w:val="single" w:sz="32" w:space="0" w:color="9BC2E5" w:themeColor="accent5" w:themeTint="9A"/>
        <w:right w:val="single" w:sz="32" w:space="0" w:color="9BC2E5" w:themeColor="accent5" w:themeTint="9A"/>
      </w:tblBorders>
      <w:shd w:val="clear" w:color="9BC2E5" w:themeColor="accent5" w:themeTint="9A" w:fill="9BC2E5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BC2E5" w:themeColor="accent5" w:themeTint="9A"/>
          <w:bottom w:val="single" w:sz="12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BC2E5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BC2E5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472C4" w:themeColor="accent1"/>
        <w:bottom w:val="single" w:sz="4" w:space="0" w:color="4472C4" w:themeColor="accent1"/>
      </w:tblBorders>
    </w:tblPr>
    <w:tblStylePr w:type="firstRow">
      <w:rPr>
        <w:b/>
        <w:color w:val="254175" w:themeColor="accent1" w:themeShade="95"/>
      </w:rPr>
      <w:tblPr/>
      <w:tcPr>
        <w:tcBorders>
          <w:bottom w:val="single" w:sz="4" w:space="0" w:color="4472C4" w:themeColor="accent1"/>
        </w:tcBorders>
      </w:tcPr>
    </w:tblStylePr>
    <w:tblStylePr w:type="lastRow">
      <w:rPr>
        <w:b/>
        <w:color w:val="254175" w:themeColor="accent1" w:themeShade="95"/>
      </w:rPr>
      <w:tblPr/>
      <w:tcPr>
        <w:tcBorders>
          <w:top w:val="single" w:sz="4" w:space="0" w:color="4472C4" w:themeColor="accent1"/>
        </w:tcBorders>
      </w:tcPr>
    </w:tblStylePr>
    <w:tblStylePr w:type="firstCol">
      <w:rPr>
        <w:b/>
        <w:color w:val="254175" w:themeColor="accent1" w:themeShade="95"/>
      </w:rPr>
    </w:tblStylePr>
    <w:tblStylePr w:type="lastCol">
      <w:rPr>
        <w:b/>
        <w:color w:val="254175" w:themeColor="accent1" w:themeShade="95"/>
      </w:r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254175" w:themeColor="accent1" w:themeShade="95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2Horz">
      <w:rPr>
        <w:rFonts w:ascii="Arial" w:hAnsi="Arial"/>
        <w:color w:val="254175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C2E5" w:themeColor="accent5" w:themeTint="9A"/>
        <w:bottom w:val="single" w:sz="4" w:space="0" w:color="9BC2E5" w:themeColor="accent5" w:themeTint="9A"/>
      </w:tblBorders>
    </w:tblPr>
    <w:tblStylePr w:type="firstRow">
      <w:rPr>
        <w:b/>
        <w:color w:val="9BC2E5" w:themeColor="accent5" w:themeTint="9A" w:themeShade="95"/>
      </w:rPr>
      <w:tblPr/>
      <w:tcPr>
        <w:tcBorders>
          <w:bottom w:val="single" w:sz="4" w:space="0" w:color="9BC2E5" w:themeColor="accent5" w:themeTint="9A"/>
        </w:tcBorders>
      </w:tcPr>
    </w:tblStylePr>
    <w:tblStylePr w:type="lastRow">
      <w:rPr>
        <w:b/>
        <w:color w:val="9BC2E5" w:themeColor="accent5" w:themeTint="9A" w:themeShade="95"/>
      </w:rPr>
      <w:tblPr/>
      <w:tcPr>
        <w:tcBorders>
          <w:top w:val="single" w:sz="4" w:space="0" w:color="9BC2E5" w:themeColor="accent5" w:themeTint="9A"/>
        </w:tcBorders>
      </w:tcPr>
    </w:tblStylePr>
    <w:tblStylePr w:type="firstCol">
      <w:rPr>
        <w:b/>
        <w:color w:val="9BC2E5" w:themeColor="accent5" w:themeTint="9A" w:themeShade="95"/>
      </w:rPr>
    </w:tblStylePr>
    <w:tblStylePr w:type="lastCol">
      <w:rPr>
        <w:b/>
        <w:color w:val="9BC2E5" w:themeColor="accent5" w:themeTint="9A" w:themeShade="95"/>
      </w:r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9BC2E5" w:themeColor="accent5" w:themeTint="9A" w:themeShade="95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Arial" w:hAnsi="Arial"/>
        <w:color w:val="9BC2E5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4472C4" w:themeColor="accent1"/>
      </w:tblBorders>
    </w:tblPr>
    <w:tblStylePr w:type="firstRow"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472C4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54175" w:themeColor="accent1" w:themeShade="95"/>
        <w:sz w:val="22"/>
      </w:rPr>
      <w:tblPr/>
      <w:tcPr>
        <w:tcBorders>
          <w:top w:val="single" w:sz="4" w:space="0" w:color="4472C4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472C4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0" w:space="0" w:color="auto"/>
          <w:left w:val="single" w:sz="4" w:space="0" w:color="4472C4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254175" w:themeColor="accent1" w:themeShade="95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2Horz">
      <w:rPr>
        <w:rFonts w:ascii="Arial" w:hAnsi="Arial"/>
        <w:color w:val="254175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9C9C9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9C9C9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9BC2E5" w:themeColor="accent5" w:themeTint="9A"/>
      </w:tblBorders>
    </w:tblPr>
    <w:tblStylePr w:type="firstRow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BC2E5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single" w:sz="4" w:space="0" w:color="9BC2E5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BC2E5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BC2E5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9BC2E5" w:themeColor="accent5" w:themeTint="9A" w:themeShade="95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Arial" w:hAnsi="Arial"/>
        <w:color w:val="9BC2E5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9D08E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A9D08E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  <w14:ligatures w14:val="none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  <w14:ligatures w14:val="none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  <w14:ligatures w14:val="none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  <w14:ligatures w14:val="none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  <w14:ligatures w14:val="none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  <w14:ligatures w14:val="none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  <w14:ligatures w14:val="none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  <w14:ligatures w14:val="none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  <w14:ligatures w14:val="none"/>
    </w:rPr>
    <w:tblPr>
      <w:tblStyleRowBandSize w:val="1"/>
      <w:tblStyleColBandSize w:val="1"/>
      <w:tblBorders>
        <w:top w:val="single" w:sz="4" w:space="0" w:color="254175" w:themeColor="accent1" w:themeShade="95"/>
        <w:left w:val="single" w:sz="4" w:space="0" w:color="254175" w:themeColor="accent1" w:themeShade="95"/>
        <w:bottom w:val="single" w:sz="4" w:space="0" w:color="254175" w:themeColor="accent1" w:themeShade="95"/>
        <w:right w:val="single" w:sz="4" w:space="0" w:color="254175" w:themeColor="accent1" w:themeShade="95"/>
        <w:insideH w:val="single" w:sz="4" w:space="0" w:color="254175" w:themeColor="accent1" w:themeShade="95"/>
        <w:insideV w:val="single" w:sz="4" w:space="0" w:color="254175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  <w14:ligatures w14:val="none"/>
    </w:rPr>
    <w:tblPr>
      <w:tblStyleRowBandSize w:val="1"/>
      <w:tblStyleColBandSize w:val="1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  <w14:ligatures w14:val="none"/>
    </w:rPr>
    <w:tblPr>
      <w:tblStyleRowBandSize w:val="1"/>
      <w:tblStyleColBandSize w:val="1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  <w14:ligatures w14:val="none"/>
    </w:rPr>
    <w:tblPr>
      <w:tblStyleRowBandSize w:val="1"/>
      <w:tblStyleColBandSize w:val="1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  <w14:ligatures w14:val="none"/>
    </w:rPr>
    <w:tblPr>
      <w:tblStyleRowBandSize w:val="1"/>
      <w:tblStyleColBandSize w:val="1"/>
      <w:tblBorders>
        <w:top w:val="single" w:sz="4" w:space="0" w:color="245A8D" w:themeColor="accent5" w:themeShade="95"/>
        <w:left w:val="single" w:sz="4" w:space="0" w:color="245A8D" w:themeColor="accent5" w:themeShade="95"/>
        <w:bottom w:val="single" w:sz="4" w:space="0" w:color="245A8D" w:themeColor="accent5" w:themeShade="95"/>
        <w:right w:val="single" w:sz="4" w:space="0" w:color="245A8D" w:themeColor="accent5" w:themeShade="95"/>
        <w:insideH w:val="single" w:sz="4" w:space="0" w:color="245A8D" w:themeColor="accent5" w:themeShade="95"/>
        <w:insideV w:val="single" w:sz="4" w:space="0" w:color="245A8D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  <w14:ligatures w14:val="none"/>
    </w:rPr>
    <w:tblPr>
      <w:tblStyleRowBandSize w:val="1"/>
      <w:tblStyleColBandSize w:val="1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472C4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472C4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472C4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BC2E5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BC2E5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BC2E5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character" w:styleId="af1">
    <w:name w:val="Hyperlink"/>
    <w:uiPriority w:val="99"/>
    <w:unhideWhenUsed/>
    <w:rPr>
      <w:color w:val="0563C1" w:themeColor="hyperlink"/>
      <w:u w:val="single"/>
    </w:rPr>
  </w:style>
  <w:style w:type="paragraph" w:styleId="af2">
    <w:name w:val="footnote text"/>
    <w:basedOn w:val="a"/>
    <w:link w:val="af3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f3">
    <w:name w:val="Текст сноски Знак"/>
    <w:link w:val="af2"/>
    <w:uiPriority w:val="99"/>
    <w:rPr>
      <w:sz w:val="18"/>
    </w:rPr>
  </w:style>
  <w:style w:type="character" w:styleId="af4">
    <w:name w:val="footnote reference"/>
    <w:basedOn w:val="a0"/>
    <w:uiPriority w:val="99"/>
    <w:unhideWhenUsed/>
    <w:rPr>
      <w:vertAlign w:val="superscript"/>
    </w:rPr>
  </w:style>
  <w:style w:type="paragraph" w:styleId="af5">
    <w:name w:val="endnote text"/>
    <w:basedOn w:val="a"/>
    <w:link w:val="af6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f6">
    <w:name w:val="Текст концевой сноски Знак"/>
    <w:link w:val="af5"/>
    <w:uiPriority w:val="99"/>
    <w:rPr>
      <w:sz w:val="20"/>
    </w:rPr>
  </w:style>
  <w:style w:type="character" w:styleId="af7">
    <w:name w:val="endnote reference"/>
    <w:basedOn w:val="a0"/>
    <w:uiPriority w:val="99"/>
    <w:semiHidden/>
    <w:unhideWhenUsed/>
    <w:rPr>
      <w:vertAlign w:val="superscript"/>
    </w:rPr>
  </w:style>
  <w:style w:type="paragraph" w:styleId="11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8">
    <w:name w:val="TOC Heading"/>
    <w:uiPriority w:val="39"/>
    <w:unhideWhenUsed/>
  </w:style>
  <w:style w:type="paragraph" w:styleId="af9">
    <w:name w:val="table of figures"/>
    <w:basedOn w:val="a"/>
    <w:next w:val="a"/>
    <w:uiPriority w:val="99"/>
    <w:unhideWhenUsed/>
    <w:pPr>
      <w:spacing w:after="0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paragraph" w:styleId="a4">
    <w:name w:val="No Spacing"/>
    <w:uiPriority w:val="1"/>
    <w:qFormat/>
    <w:pPr>
      <w:spacing w:after="0" w:line="240" w:lineRule="auto"/>
    </w:pPr>
  </w:style>
  <w:style w:type="paragraph" w:styleId="a5">
    <w:name w:val="Title"/>
    <w:basedOn w:val="a"/>
    <w:next w:val="a"/>
    <w:link w:val="a6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6">
    <w:name w:val="Название Знак"/>
    <w:basedOn w:val="a0"/>
    <w:link w:val="a5"/>
    <w:uiPriority w:val="10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pPr>
      <w:spacing w:before="200" w:after="200"/>
    </w:pPr>
    <w:rPr>
      <w:sz w:val="24"/>
      <w:szCs w:val="24"/>
    </w:rPr>
  </w:style>
  <w:style w:type="character" w:customStyle="1" w:styleId="a8">
    <w:name w:val="Подзаголовок Знак"/>
    <w:basedOn w:val="a0"/>
    <w:link w:val="a7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9">
    <w:name w:val="Intense Quote"/>
    <w:basedOn w:val="a"/>
    <w:next w:val="a"/>
    <w:link w:val="a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Pr>
      <w:i/>
    </w:rPr>
  </w:style>
  <w:style w:type="paragraph" w:styleId="ab">
    <w:name w:val="header"/>
    <w:basedOn w:val="a"/>
    <w:link w:val="ac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</w:style>
  <w:style w:type="paragraph" w:styleId="ad">
    <w:name w:val="footer"/>
    <w:basedOn w:val="a"/>
    <w:link w:val="ae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FooterChar">
    <w:name w:val="Footer Char"/>
    <w:basedOn w:val="a0"/>
    <w:uiPriority w:val="99"/>
  </w:style>
  <w:style w:type="paragraph" w:styleId="af">
    <w:name w:val="caption"/>
    <w:basedOn w:val="a"/>
    <w:next w:val="a"/>
    <w:uiPriority w:val="35"/>
    <w:semiHidden/>
    <w:unhideWhenUsed/>
    <w:qFormat/>
    <w:pPr>
      <w:spacing w:line="276" w:lineRule="auto"/>
    </w:pPr>
    <w:rPr>
      <w:b/>
      <w:bCs/>
      <w:color w:val="4472C4" w:themeColor="accent1"/>
      <w:sz w:val="18"/>
      <w:szCs w:val="18"/>
    </w:rPr>
  </w:style>
  <w:style w:type="character" w:customStyle="1" w:styleId="ae">
    <w:name w:val="Нижний колонтитул Знак"/>
    <w:link w:val="ad"/>
    <w:uiPriority w:val="99"/>
  </w:style>
  <w:style w:type="table" w:styleId="af0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PlainTable1">
    <w:name w:val="Plain Table 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37DC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B9BD5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  <w:insideV w:val="single" w:sz="4" w:space="0" w:color="95AFDD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37DC8" w:themeColor="accent1" w:themeTint="EA"/>
          <w:left w:val="single" w:sz="4" w:space="0" w:color="537DC8" w:themeColor="accent1" w:themeTint="EA"/>
          <w:bottom w:val="single" w:sz="4" w:space="0" w:color="537DC8" w:themeColor="accent1" w:themeTint="EA"/>
          <w:right w:val="single" w:sz="4" w:space="0" w:color="537DC8" w:themeColor="accent1" w:themeTint="EA"/>
        </w:tcBorders>
        <w:shd w:val="clear" w:color="537DC8" w:themeColor="accent1" w:themeTint="EA" w:fill="537DC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B9BD5" w:themeColor="accent5"/>
          <w:left w:val="single" w:sz="4" w:space="0" w:color="5B9BD5" w:themeColor="accent5"/>
          <w:bottom w:val="single" w:sz="4" w:space="0" w:color="5B9BD5" w:themeColor="accent5"/>
          <w:right w:val="single" w:sz="4" w:space="0" w:color="5B9BD5" w:themeColor="accent5"/>
        </w:tcBorders>
        <w:shd w:val="clear" w:color="5B9BD5" w:themeColor="accent5" w:fill="5B9BD5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5Dark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1" w:themeTint="34" w:fill="D8E2F3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1" w:fill="4472C4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band1Vert">
      <w:tblPr/>
      <w:tcPr>
        <w:shd w:val="clear" w:color="A9BEE4" w:themeColor="accent1" w:themeTint="75" w:fill="A9BEE4" w:themeFill="accent1" w:themeFillTint="75"/>
      </w:tcPr>
    </w:tblStylePr>
    <w:tblStylePr w:type="band1Horz">
      <w:tblPr/>
      <w:tcPr>
        <w:shd w:val="clear" w:color="A9BEE4" w:themeColor="accent1" w:themeTint="75" w:fill="A9BEE4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5" w:themeTint="34" w:fill="DDEAF6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5" w:fill="5B9BD5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band1Vert">
      <w:tblPr/>
      <w:tcPr>
        <w:shd w:val="clear" w:color="B3D0EB" w:themeColor="accent5" w:themeTint="75" w:fill="B3D0EB" w:themeFill="accent5" w:themeFillTint="75"/>
      </w:tcPr>
    </w:tblStylePr>
    <w:tblStylePr w:type="band1Horz">
      <w:tblPr/>
      <w:tcPr>
        <w:shd w:val="clear" w:color="B3D0EB" w:themeColor="accent5" w:themeTint="75" w:fill="B3D0EB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0B7E1" w:themeColor="accent1" w:themeTint="80"/>
        <w:left w:val="single" w:sz="4" w:space="0" w:color="A0B7E1" w:themeColor="accent1" w:themeTint="80"/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</w:tblPr>
    <w:tblStylePr w:type="firstRow">
      <w:rPr>
        <w:b/>
        <w:color w:val="A0B7E1" w:themeColor="accent1" w:themeTint="80" w:themeShade="95"/>
      </w:rPr>
      <w:tblPr/>
      <w:tcPr>
        <w:tcBorders>
          <w:bottom w:val="single" w:sz="12" w:space="0" w:color="A0B7E1" w:themeColor="accent1" w:themeTint="80"/>
        </w:tcBorders>
      </w:tcPr>
    </w:tblStylePr>
    <w:tblStylePr w:type="lastRow">
      <w:rPr>
        <w:b/>
        <w:color w:val="A0B7E1" w:themeColor="accent1" w:themeTint="80" w:themeShade="95"/>
      </w:rPr>
    </w:tblStylePr>
    <w:tblStylePr w:type="firstCol">
      <w:rPr>
        <w:b/>
        <w:color w:val="A0B7E1" w:themeColor="accent1" w:themeTint="80" w:themeShade="95"/>
      </w:rPr>
    </w:tblStylePr>
    <w:tblStylePr w:type="lastCol">
      <w:rPr>
        <w:b/>
        <w:color w:val="A0B7E1" w:themeColor="accent1" w:themeTint="80" w:themeShade="95"/>
      </w:rPr>
    </w:tblStylePr>
    <w:tblStylePr w:type="band1Vert"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A0B7E1" w:themeColor="accent1" w:themeTint="80" w:themeShade="95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2Horz">
      <w:rPr>
        <w:rFonts w:ascii="Arial" w:hAnsi="Arial"/>
        <w:color w:val="A0B7E1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5"/>
        <w:left w:val="single" w:sz="4" w:space="0" w:color="5B9BD5" w:themeColor="accent5"/>
        <w:bottom w:val="single" w:sz="4" w:space="0" w:color="5B9BD5" w:themeColor="accent5"/>
        <w:right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5B9BD5" w:themeColor="accent5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</w:tblPr>
    <w:tblStylePr w:type="firstRow">
      <w:rPr>
        <w:rFonts w:ascii="Arial" w:hAnsi="Arial"/>
        <w:b/>
        <w:color w:val="A0B7E1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0B7E1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0B7E1" w:themeColor="accent1" w:themeTint="80" w:themeShade="95"/>
        <w:sz w:val="22"/>
      </w:rPr>
      <w:tblPr/>
      <w:tcPr>
        <w:tcBorders>
          <w:top w:val="single" w:sz="4" w:space="0" w:color="A0B7E1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0B7E1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0B7E1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0B7E1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0B7E1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A0B7E1" w:themeColor="accent1" w:themeTint="80" w:themeShade="95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2Horz">
      <w:rPr>
        <w:rFonts w:ascii="Arial" w:hAnsi="Arial"/>
        <w:color w:val="A0B7E1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5A5A5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A5A5A5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</w:tblPr>
    <w:tblStylePr w:type="firstRow">
      <w:rPr>
        <w:rFonts w:ascii="Arial" w:hAnsi="Arial"/>
        <w:b/>
        <w:color w:val="245A8D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2C6E7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45A8D" w:themeColor="accent5" w:themeShade="95"/>
        <w:sz w:val="22"/>
      </w:rPr>
      <w:tblPr/>
      <w:tcPr>
        <w:tcBorders>
          <w:top w:val="single" w:sz="4" w:space="0" w:color="A2C6E7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2C6E7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5" w:themeShade="95"/>
        <w:sz w:val="22"/>
      </w:rPr>
      <w:tblPr/>
      <w:tcPr>
        <w:tcBorders>
          <w:top w:val="none" w:sz="0" w:space="0" w:color="auto"/>
          <w:left w:val="single" w:sz="4" w:space="0" w:color="A2C6E7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DD394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single" w:sz="4" w:space="0" w:color="ADD394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2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1" w:themeTint="90"/>
        <w:bottom w:val="single" w:sz="4" w:space="0" w:color="95AFDD" w:themeColor="accent1" w:themeTint="90"/>
        <w:insideH w:val="single" w:sz="4" w:space="0" w:color="95AFDD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5" w:themeTint="90"/>
        <w:bottom w:val="single" w:sz="4" w:space="0" w:color="A2C6E7" w:themeColor="accent5" w:themeTint="90"/>
        <w:insideH w:val="single" w:sz="4" w:space="0" w:color="A2C6E7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3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472C4" w:themeColor="accent1"/>
        <w:left w:val="single" w:sz="4" w:space="0" w:color="4472C4" w:themeColor="accent1"/>
        <w:bottom w:val="single" w:sz="4" w:space="0" w:color="4472C4" w:themeColor="accent1"/>
        <w:right w:val="single" w:sz="4" w:space="0" w:color="4472C4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472C4" w:themeColor="accent1"/>
          <w:right w:val="single" w:sz="4" w:space="0" w:color="4472C4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472C4" w:themeColor="accent1"/>
          <w:bottom w:val="single" w:sz="4" w:space="0" w:color="4472C4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C2E5" w:themeColor="accent5" w:themeTint="9A"/>
        <w:left w:val="single" w:sz="4" w:space="0" w:color="9BC2E5" w:themeColor="accent5" w:themeTint="9A"/>
        <w:bottom w:val="single" w:sz="4" w:space="0" w:color="9BC2E5" w:themeColor="accent5" w:themeTint="9A"/>
        <w:right w:val="single" w:sz="4" w:space="0" w:color="9BC2E5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C2E5" w:themeColor="accent5" w:themeTint="9A" w:fill="9BC2E5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BC2E5" w:themeColor="accent5" w:themeTint="9A"/>
          <w:right w:val="single" w:sz="4" w:space="0" w:color="9BC2E5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BC2E5" w:themeColor="accent5" w:themeTint="9A"/>
          <w:bottom w:val="single" w:sz="4" w:space="0" w:color="9BC2E5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5Dark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4472C4" w:themeColor="accent1"/>
        <w:left w:val="single" w:sz="32" w:space="0" w:color="4472C4" w:themeColor="accent1"/>
        <w:bottom w:val="single" w:sz="32" w:space="0" w:color="4472C4" w:themeColor="accent1"/>
        <w:right w:val="single" w:sz="32" w:space="0" w:color="4472C4" w:themeColor="accent1"/>
      </w:tblBorders>
      <w:shd w:val="clear" w:color="4472C4" w:themeColor="accent1" w:fill="4472C4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472C4" w:themeColor="accent1"/>
          <w:bottom w:val="single" w:sz="12" w:space="0" w:color="FFFFFF" w:themeColor="light1"/>
        </w:tcBorders>
        <w:shd w:val="clear" w:color="4472C4" w:themeColor="accent1" w:fill="4472C4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472C4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472C4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472C4" w:themeColor="accent1" w:fill="4472C4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4472C4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4472C4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9BC2E5" w:themeColor="accent5" w:themeTint="9A"/>
        <w:left w:val="single" w:sz="32" w:space="0" w:color="9BC2E5" w:themeColor="accent5" w:themeTint="9A"/>
        <w:bottom w:val="single" w:sz="32" w:space="0" w:color="9BC2E5" w:themeColor="accent5" w:themeTint="9A"/>
        <w:right w:val="single" w:sz="32" w:space="0" w:color="9BC2E5" w:themeColor="accent5" w:themeTint="9A"/>
      </w:tblBorders>
      <w:shd w:val="clear" w:color="9BC2E5" w:themeColor="accent5" w:themeTint="9A" w:fill="9BC2E5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BC2E5" w:themeColor="accent5" w:themeTint="9A"/>
          <w:bottom w:val="single" w:sz="12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BC2E5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BC2E5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472C4" w:themeColor="accent1"/>
        <w:bottom w:val="single" w:sz="4" w:space="0" w:color="4472C4" w:themeColor="accent1"/>
      </w:tblBorders>
    </w:tblPr>
    <w:tblStylePr w:type="firstRow">
      <w:rPr>
        <w:b/>
        <w:color w:val="254175" w:themeColor="accent1" w:themeShade="95"/>
      </w:rPr>
      <w:tblPr/>
      <w:tcPr>
        <w:tcBorders>
          <w:bottom w:val="single" w:sz="4" w:space="0" w:color="4472C4" w:themeColor="accent1"/>
        </w:tcBorders>
      </w:tcPr>
    </w:tblStylePr>
    <w:tblStylePr w:type="lastRow">
      <w:rPr>
        <w:b/>
        <w:color w:val="254175" w:themeColor="accent1" w:themeShade="95"/>
      </w:rPr>
      <w:tblPr/>
      <w:tcPr>
        <w:tcBorders>
          <w:top w:val="single" w:sz="4" w:space="0" w:color="4472C4" w:themeColor="accent1"/>
        </w:tcBorders>
      </w:tcPr>
    </w:tblStylePr>
    <w:tblStylePr w:type="firstCol">
      <w:rPr>
        <w:b/>
        <w:color w:val="254175" w:themeColor="accent1" w:themeShade="95"/>
      </w:rPr>
    </w:tblStylePr>
    <w:tblStylePr w:type="lastCol">
      <w:rPr>
        <w:b/>
        <w:color w:val="254175" w:themeColor="accent1" w:themeShade="95"/>
      </w:r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254175" w:themeColor="accent1" w:themeShade="95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2Horz">
      <w:rPr>
        <w:rFonts w:ascii="Arial" w:hAnsi="Arial"/>
        <w:color w:val="254175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C2E5" w:themeColor="accent5" w:themeTint="9A"/>
        <w:bottom w:val="single" w:sz="4" w:space="0" w:color="9BC2E5" w:themeColor="accent5" w:themeTint="9A"/>
      </w:tblBorders>
    </w:tblPr>
    <w:tblStylePr w:type="firstRow">
      <w:rPr>
        <w:b/>
        <w:color w:val="9BC2E5" w:themeColor="accent5" w:themeTint="9A" w:themeShade="95"/>
      </w:rPr>
      <w:tblPr/>
      <w:tcPr>
        <w:tcBorders>
          <w:bottom w:val="single" w:sz="4" w:space="0" w:color="9BC2E5" w:themeColor="accent5" w:themeTint="9A"/>
        </w:tcBorders>
      </w:tcPr>
    </w:tblStylePr>
    <w:tblStylePr w:type="lastRow">
      <w:rPr>
        <w:b/>
        <w:color w:val="9BC2E5" w:themeColor="accent5" w:themeTint="9A" w:themeShade="95"/>
      </w:rPr>
      <w:tblPr/>
      <w:tcPr>
        <w:tcBorders>
          <w:top w:val="single" w:sz="4" w:space="0" w:color="9BC2E5" w:themeColor="accent5" w:themeTint="9A"/>
        </w:tcBorders>
      </w:tcPr>
    </w:tblStylePr>
    <w:tblStylePr w:type="firstCol">
      <w:rPr>
        <w:b/>
        <w:color w:val="9BC2E5" w:themeColor="accent5" w:themeTint="9A" w:themeShade="95"/>
      </w:rPr>
    </w:tblStylePr>
    <w:tblStylePr w:type="lastCol">
      <w:rPr>
        <w:b/>
        <w:color w:val="9BC2E5" w:themeColor="accent5" w:themeTint="9A" w:themeShade="95"/>
      </w:r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9BC2E5" w:themeColor="accent5" w:themeTint="9A" w:themeShade="95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Arial" w:hAnsi="Arial"/>
        <w:color w:val="9BC2E5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4472C4" w:themeColor="accent1"/>
      </w:tblBorders>
    </w:tblPr>
    <w:tblStylePr w:type="firstRow"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472C4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54175" w:themeColor="accent1" w:themeShade="95"/>
        <w:sz w:val="22"/>
      </w:rPr>
      <w:tblPr/>
      <w:tcPr>
        <w:tcBorders>
          <w:top w:val="single" w:sz="4" w:space="0" w:color="4472C4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472C4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0" w:space="0" w:color="auto"/>
          <w:left w:val="single" w:sz="4" w:space="0" w:color="4472C4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254175" w:themeColor="accent1" w:themeShade="95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2Horz">
      <w:rPr>
        <w:rFonts w:ascii="Arial" w:hAnsi="Arial"/>
        <w:color w:val="254175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9C9C9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9C9C9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9BC2E5" w:themeColor="accent5" w:themeTint="9A"/>
      </w:tblBorders>
    </w:tblPr>
    <w:tblStylePr w:type="firstRow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BC2E5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single" w:sz="4" w:space="0" w:color="9BC2E5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BC2E5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BC2E5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9BC2E5" w:themeColor="accent5" w:themeTint="9A" w:themeShade="95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Arial" w:hAnsi="Arial"/>
        <w:color w:val="9BC2E5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9D08E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A9D08E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  <w14:ligatures w14:val="none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  <w14:ligatures w14:val="none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  <w14:ligatures w14:val="none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  <w14:ligatures w14:val="none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  <w14:ligatures w14:val="none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  <w14:ligatures w14:val="none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  <w14:ligatures w14:val="none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  <w14:ligatures w14:val="none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  <w14:ligatures w14:val="none"/>
    </w:rPr>
    <w:tblPr>
      <w:tblStyleRowBandSize w:val="1"/>
      <w:tblStyleColBandSize w:val="1"/>
      <w:tblBorders>
        <w:top w:val="single" w:sz="4" w:space="0" w:color="254175" w:themeColor="accent1" w:themeShade="95"/>
        <w:left w:val="single" w:sz="4" w:space="0" w:color="254175" w:themeColor="accent1" w:themeShade="95"/>
        <w:bottom w:val="single" w:sz="4" w:space="0" w:color="254175" w:themeColor="accent1" w:themeShade="95"/>
        <w:right w:val="single" w:sz="4" w:space="0" w:color="254175" w:themeColor="accent1" w:themeShade="95"/>
        <w:insideH w:val="single" w:sz="4" w:space="0" w:color="254175" w:themeColor="accent1" w:themeShade="95"/>
        <w:insideV w:val="single" w:sz="4" w:space="0" w:color="254175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  <w14:ligatures w14:val="none"/>
    </w:rPr>
    <w:tblPr>
      <w:tblStyleRowBandSize w:val="1"/>
      <w:tblStyleColBandSize w:val="1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  <w14:ligatures w14:val="none"/>
    </w:rPr>
    <w:tblPr>
      <w:tblStyleRowBandSize w:val="1"/>
      <w:tblStyleColBandSize w:val="1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  <w14:ligatures w14:val="none"/>
    </w:rPr>
    <w:tblPr>
      <w:tblStyleRowBandSize w:val="1"/>
      <w:tblStyleColBandSize w:val="1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  <w14:ligatures w14:val="none"/>
    </w:rPr>
    <w:tblPr>
      <w:tblStyleRowBandSize w:val="1"/>
      <w:tblStyleColBandSize w:val="1"/>
      <w:tblBorders>
        <w:top w:val="single" w:sz="4" w:space="0" w:color="245A8D" w:themeColor="accent5" w:themeShade="95"/>
        <w:left w:val="single" w:sz="4" w:space="0" w:color="245A8D" w:themeColor="accent5" w:themeShade="95"/>
        <w:bottom w:val="single" w:sz="4" w:space="0" w:color="245A8D" w:themeColor="accent5" w:themeShade="95"/>
        <w:right w:val="single" w:sz="4" w:space="0" w:color="245A8D" w:themeColor="accent5" w:themeShade="95"/>
        <w:insideH w:val="single" w:sz="4" w:space="0" w:color="245A8D" w:themeColor="accent5" w:themeShade="95"/>
        <w:insideV w:val="single" w:sz="4" w:space="0" w:color="245A8D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  <w14:ligatures w14:val="none"/>
    </w:rPr>
    <w:tblPr>
      <w:tblStyleRowBandSize w:val="1"/>
      <w:tblStyleColBandSize w:val="1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472C4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472C4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472C4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BC2E5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BC2E5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BC2E5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character" w:styleId="af1">
    <w:name w:val="Hyperlink"/>
    <w:uiPriority w:val="99"/>
    <w:unhideWhenUsed/>
    <w:rPr>
      <w:color w:val="0563C1" w:themeColor="hyperlink"/>
      <w:u w:val="single"/>
    </w:rPr>
  </w:style>
  <w:style w:type="paragraph" w:styleId="af2">
    <w:name w:val="footnote text"/>
    <w:basedOn w:val="a"/>
    <w:link w:val="af3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f3">
    <w:name w:val="Текст сноски Знак"/>
    <w:link w:val="af2"/>
    <w:uiPriority w:val="99"/>
    <w:rPr>
      <w:sz w:val="18"/>
    </w:rPr>
  </w:style>
  <w:style w:type="character" w:styleId="af4">
    <w:name w:val="footnote reference"/>
    <w:basedOn w:val="a0"/>
    <w:uiPriority w:val="99"/>
    <w:unhideWhenUsed/>
    <w:rPr>
      <w:vertAlign w:val="superscript"/>
    </w:rPr>
  </w:style>
  <w:style w:type="paragraph" w:styleId="af5">
    <w:name w:val="endnote text"/>
    <w:basedOn w:val="a"/>
    <w:link w:val="af6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f6">
    <w:name w:val="Текст концевой сноски Знак"/>
    <w:link w:val="af5"/>
    <w:uiPriority w:val="99"/>
    <w:rPr>
      <w:sz w:val="20"/>
    </w:rPr>
  </w:style>
  <w:style w:type="character" w:styleId="af7">
    <w:name w:val="endnote reference"/>
    <w:basedOn w:val="a0"/>
    <w:uiPriority w:val="99"/>
    <w:semiHidden/>
    <w:unhideWhenUsed/>
    <w:rPr>
      <w:vertAlign w:val="superscript"/>
    </w:rPr>
  </w:style>
  <w:style w:type="paragraph" w:styleId="11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8">
    <w:name w:val="TOC Heading"/>
    <w:uiPriority w:val="39"/>
    <w:unhideWhenUsed/>
  </w:style>
  <w:style w:type="paragraph" w:styleId="af9">
    <w:name w:val="table of figures"/>
    <w:basedOn w:val="a"/>
    <w:next w:val="a"/>
    <w:uiPriority w:val="99"/>
    <w:unhideWhenUsed/>
    <w:pPr>
      <w:spacing w:after="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4788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9641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19465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70838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16525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7403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50666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91179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41</TotalTime>
  <Pages>1</Pages>
  <Words>571</Words>
  <Characters>3257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Maria Topuzova</dc:creator>
  <cp:lastModifiedBy>Евгений Абриталин</cp:lastModifiedBy>
  <cp:revision>5</cp:revision>
  <dcterms:created xsi:type="dcterms:W3CDTF">2024-12-16T13:51:00Z</dcterms:created>
  <dcterms:modified xsi:type="dcterms:W3CDTF">2024-12-18T08:49:00Z</dcterms:modified>
</cp:coreProperties>
</file>